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150E" w14:textId="77777777" w:rsidR="000E114B" w:rsidRPr="000E114B" w:rsidRDefault="000E114B" w:rsidP="006A3560">
      <w:pPr>
        <w:widowControl w:val="0"/>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EXHIBIT A – SPECIAL PROVISIONS</w:t>
      </w:r>
    </w:p>
    <w:p w14:paraId="43A466D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following provisions supplement or modify the provisions of Items 1 through 10 of the Standard Contract, as provided herein:</w:t>
      </w:r>
    </w:p>
    <w:p w14:paraId="15094AA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ENGAGEMENT, TERM AND CONTRACT DOCUMENT </w:t>
      </w:r>
    </w:p>
    <w:p w14:paraId="2080A8C7"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Contract Document</w:t>
      </w:r>
    </w:p>
    <w:p w14:paraId="02D7AD2B" w14:textId="77777777" w:rsidR="000E114B" w:rsidRPr="000E114B" w:rsidRDefault="000E114B" w:rsidP="006A3560">
      <w:pPr>
        <w:tabs>
          <w:tab w:val="left" w:pos="1260"/>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1.5</w:t>
      </w:r>
      <w:r w:rsidRPr="000E114B">
        <w:rPr>
          <w:rFonts w:ascii="Arial" w:eastAsia="Times New Roman" w:hAnsi="Arial" w:cs="Arial"/>
          <w:kern w:val="0"/>
          <w14:ligatures w14:val="none"/>
        </w:rPr>
        <w:t xml:space="preserve">, the following documents, or the latest revisions thereof, are incorporated herein and made a part of this Contract. Requirements set forth in Guidance Documents are the minimum required program standards and shall not be changed by the Managing Entity unless the Guidance Document expressly permits the Managing Entity to determine the appropriate minimum standard. Managing Entities shall not create additional requirements in subcontracts with Network Service Providers and must refer to the Departments version of the Guidance Document published on the Department’s website. </w:t>
      </w:r>
    </w:p>
    <w:p w14:paraId="271AFA0D"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Additional Contract Exhibits</w:t>
      </w:r>
    </w:p>
    <w:p w14:paraId="50F79DB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Exhibits A1, A2, B1, C1, C2, F1 and F2</w:t>
      </w:r>
    </w:p>
    <w:p w14:paraId="466B4469"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Guidance Documents</w:t>
      </w:r>
    </w:p>
    <w:p w14:paraId="1C2C477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1 - Evidence-Based Guidelines</w:t>
      </w:r>
    </w:p>
    <w:p w14:paraId="69BD5E9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2 - Tangible Property Requirements </w:t>
      </w:r>
    </w:p>
    <w:p w14:paraId="20E39F7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3 - Managing Entity Expiration, Termination and Transition Planning Requirements</w:t>
      </w:r>
    </w:p>
    <w:p w14:paraId="5768E6A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4 - Care Coordination</w:t>
      </w:r>
    </w:p>
    <w:p w14:paraId="6E647EE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5 - Residential Mental Health Treatment for Children and Adolescents </w:t>
      </w:r>
    </w:p>
    <w:p w14:paraId="2064A0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6 - Outpatient Forensic Mental Health Services </w:t>
      </w:r>
    </w:p>
    <w:p w14:paraId="4F6D7C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7 - State Mental Health Treatment Facility Admission and Discharge Processes </w:t>
      </w:r>
    </w:p>
    <w:p w14:paraId="36520B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8 - Assisted Living Facilities with Limited Mental Health (ALF-LMH) Licensure</w:t>
      </w:r>
    </w:p>
    <w:p w14:paraId="049766C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9 - Supplemental Security Income/Social Security Disability Insurance (SSI/SSDI) Outreach Access, and Recovery (SOAR)</w:t>
      </w:r>
    </w:p>
    <w:p w14:paraId="3F4EEC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10 - Prevention Services </w:t>
      </w:r>
    </w:p>
    <w:p w14:paraId="51D604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11 - Juvenile Incompetent to Proceed (JITP) </w:t>
      </w:r>
    </w:p>
    <w:p w14:paraId="1A8A2B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12 - Behavioral Health Network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Guidelines and Requirements </w:t>
      </w:r>
    </w:p>
    <w:p w14:paraId="41C646B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13 - Indigent Drug Program (IDP) </w:t>
      </w:r>
    </w:p>
    <w:p w14:paraId="6E942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14 - Prevention Partnership Grants (PPG)</w:t>
      </w:r>
    </w:p>
    <w:p w14:paraId="43E1228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15 - Projects for Assistance in Transition from Homelessness (PATH) </w:t>
      </w:r>
    </w:p>
    <w:p w14:paraId="2EF5FD9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16 - Florida Assertive Community Treatment (FACT) Handbook</w:t>
      </w:r>
    </w:p>
    <w:p w14:paraId="2E0E6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17 - Temporary Assistance for Needy Families (TANF) Funding Guidance </w:t>
      </w:r>
    </w:p>
    <w:p w14:paraId="79EB0BA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18 - Family Intensive Treatment (FIT) Model Guidelines and Requirements </w:t>
      </w:r>
    </w:p>
    <w:p w14:paraId="492A43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19 - Integration with Child Welfare</w:t>
      </w:r>
    </w:p>
    <w:p w14:paraId="7569BD4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20 – Local, Regional, and State Review Teams</w:t>
      </w:r>
    </w:p>
    <w:p w14:paraId="748F69B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21 - Housing Coordination </w:t>
      </w:r>
    </w:p>
    <w:p w14:paraId="3CD692E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22 - Federal Grant Financial Management Requirements</w:t>
      </w:r>
    </w:p>
    <w:p w14:paraId="0ECF70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23 - Crisis Counseling Program </w:t>
      </w:r>
    </w:p>
    <w:p w14:paraId="4709A5E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Guidance 24 - Performance Outcomes Measurement Manual </w:t>
      </w:r>
    </w:p>
    <w:p w14:paraId="582E048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25 - National Voter Registration Act Guidance</w:t>
      </w:r>
    </w:p>
    <w:p w14:paraId="786F992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26 - Women’s Special Funding, Substance Abuse Services for Pregnant Women and Mothers</w:t>
      </w:r>
    </w:p>
    <w:p w14:paraId="6C54957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Guidance 27 – Central Receiving Systems (CRS)</w:t>
      </w:r>
    </w:p>
    <w:p w14:paraId="03F7A82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28 – Forensic Multidisciplinary Team</w:t>
      </w:r>
    </w:p>
    <w:p w14:paraId="4EFB1F4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29 – Transitional Voucher</w:t>
      </w:r>
    </w:p>
    <w:p w14:paraId="12ED01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30 – </w:t>
      </w:r>
      <w:r w:rsidRPr="000E114B">
        <w:rPr>
          <w:rFonts w:ascii="Arial" w:eastAsia="Times New Roman" w:hAnsi="Arial" w:cs="Arial"/>
          <w:i/>
          <w:iCs/>
          <w:kern w:val="0"/>
          <w14:ligatures w14:val="none"/>
        </w:rPr>
        <w:t>Reserved</w:t>
      </w:r>
    </w:p>
    <w:p w14:paraId="29614E9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31</w:t>
      </w:r>
      <w:r w:rsidRPr="000E114B">
        <w:rPr>
          <w:rFonts w:ascii="Arial" w:eastAsia="Times New Roman" w:hAnsi="Arial" w:cs="Arial"/>
          <w:i/>
          <w:iCs/>
          <w:kern w:val="0"/>
          <w14:ligatures w14:val="none"/>
        </w:rPr>
        <w:t xml:space="preserve"> –</w:t>
      </w:r>
      <w:r w:rsidRPr="000E114B">
        <w:rPr>
          <w:rFonts w:ascii="Arial" w:eastAsia="Times New Roman" w:hAnsi="Arial" w:cs="Arial"/>
          <w:kern w:val="0"/>
          <w14:ligatures w14:val="none"/>
        </w:rPr>
        <w:t xml:space="preserve"> </w:t>
      </w:r>
      <w:r w:rsidRPr="000E114B">
        <w:rPr>
          <w:rFonts w:ascii="Arial" w:eastAsia="Times New Roman" w:hAnsi="Arial" w:cs="Arial"/>
          <w:i/>
          <w:iCs/>
          <w:kern w:val="0"/>
          <w14:ligatures w14:val="none"/>
        </w:rPr>
        <w:t>Reserved</w:t>
      </w:r>
    </w:p>
    <w:p w14:paraId="1511FFC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32 – Community Action Treatment (CAT) Team</w:t>
      </w:r>
    </w:p>
    <w:p w14:paraId="6E8E633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33 – HIV Early Intervention Services</w:t>
      </w:r>
    </w:p>
    <w:p w14:paraId="6780FA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34 – Mobile Response Team (MRT)</w:t>
      </w:r>
    </w:p>
    <w:p w14:paraId="5A11A36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Guidance 35 – Recovery Management Practices</w:t>
      </w:r>
    </w:p>
    <w:p w14:paraId="71B70D5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36 – Intermediate Level FACT (FACT-IL)</w:t>
      </w:r>
    </w:p>
    <w:p w14:paraId="1687E22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37 – Family First Prevention Services Act (FFPSA) Teams, Community Action Treatment (CAT) Team Variation</w:t>
      </w:r>
    </w:p>
    <w:p w14:paraId="75FADA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38 – Community Action Treatment (CAT) Team for Ages 0-10, CAT Team Variation</w:t>
      </w:r>
    </w:p>
    <w:p w14:paraId="33AC1A9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39 – Family Well-being Treatment Teams</w:t>
      </w:r>
    </w:p>
    <w:p w14:paraId="6C84204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40 – Family Support Teams (FST) Community Action Treatment (CAT), Team Variation</w:t>
      </w:r>
    </w:p>
    <w:p w14:paraId="23D79B2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Guidance 41 – Coordinated Opioid Recovery (CORE) Network of Addiction Care </w:t>
      </w:r>
    </w:p>
    <w:p w14:paraId="2167690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42 – State Opioid Response (SOR) Project</w:t>
      </w:r>
    </w:p>
    <w:p w14:paraId="173601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43 – 988 Florida Lifeline (988 FL)</w:t>
      </w:r>
    </w:p>
    <w:p w14:paraId="0DEAF72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44 - Treatment Alternative for Safer Communities (TASC)</w:t>
      </w:r>
    </w:p>
    <w:p w14:paraId="0A19756F"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45 – Mobile Medication Assisted Treatment (MAT)</w:t>
      </w:r>
    </w:p>
    <w:p w14:paraId="0DBACF0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46 – Communications Protocol</w:t>
      </w:r>
    </w:p>
    <w:p w14:paraId="52A45598"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47 – Behavioral Health Consultants</w:t>
      </w:r>
    </w:p>
    <w:p w14:paraId="0574883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Guidance 48 – Supported Employment</w:t>
      </w:r>
    </w:p>
    <w:p w14:paraId="629A0084" w14:textId="77777777" w:rsidR="000E114B" w:rsidRPr="000E114B" w:rsidRDefault="000E114B" w:rsidP="006A3560">
      <w:pPr>
        <w:numPr>
          <w:ilvl w:val="2"/>
          <w:numId w:val="1"/>
        </w:numPr>
        <w:tabs>
          <w:tab w:val="left" w:pos="198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Templates</w:t>
      </w:r>
    </w:p>
    <w:p w14:paraId="4912A8A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 – Provider Tangible Property Inventory Form</w:t>
      </w:r>
    </w:p>
    <w:p w14:paraId="6BDE2E8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 – SAMH Block Grant Reporting Template Overview and Instructions</w:t>
      </w:r>
    </w:p>
    <w:p w14:paraId="45AB823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3 – Narrative Report for the Substance Abuse and Mental Health Block Grant </w:t>
      </w:r>
    </w:p>
    <w:p w14:paraId="5FAECF4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4 – Managing Entity Annual Business Operations Plan</w:t>
      </w:r>
    </w:p>
    <w:p w14:paraId="5053583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5 – ALF-LMH Forms</w:t>
      </w:r>
    </w:p>
    <w:p w14:paraId="286D473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6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Participant Forms</w:t>
      </w:r>
    </w:p>
    <w:p w14:paraId="0352237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7 – </w:t>
      </w:r>
      <w:proofErr w:type="spellStart"/>
      <w:r w:rsidRPr="000E114B">
        <w:rPr>
          <w:rFonts w:ascii="Arial" w:eastAsia="Times New Roman" w:hAnsi="Arial" w:cs="Arial"/>
          <w:bCs/>
          <w:kern w:val="0"/>
          <w14:ligatures w14:val="none"/>
        </w:rPr>
        <w:t>BNet</w:t>
      </w:r>
      <w:proofErr w:type="spellEnd"/>
      <w:r w:rsidRPr="000E114B">
        <w:rPr>
          <w:rFonts w:ascii="Arial" w:eastAsia="Times New Roman" w:hAnsi="Arial" w:cs="Arial"/>
          <w:bCs/>
          <w:kern w:val="0"/>
          <w14:ligatures w14:val="none"/>
        </w:rPr>
        <w:t xml:space="preserve"> Alternative Service Forms</w:t>
      </w:r>
    </w:p>
    <w:p w14:paraId="0128145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8 – </w:t>
      </w:r>
      <w:r w:rsidRPr="000E114B">
        <w:rPr>
          <w:rFonts w:ascii="Arial" w:eastAsia="Times New Roman" w:hAnsi="Arial" w:cs="Arial"/>
          <w:i/>
          <w:iCs/>
          <w:kern w:val="0"/>
          <w14:ligatures w14:val="none"/>
        </w:rPr>
        <w:t>Reserved</w:t>
      </w:r>
    </w:p>
    <w:p w14:paraId="79A1A5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9 – Local Match Calculation Form</w:t>
      </w:r>
    </w:p>
    <w:p w14:paraId="49532FB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10 – Managing Entity Monthly Fixed Payment Invoice</w:t>
      </w:r>
    </w:p>
    <w:p w14:paraId="17594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11 – Managing Entity Monthly Progress Report </w:t>
      </w:r>
    </w:p>
    <w:p w14:paraId="560BD5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12 – Managing Entity Monthly Expenditure Report</w:t>
      </w:r>
      <w:r w:rsidRPr="000E114B">
        <w:rPr>
          <w:rFonts w:ascii="Arial" w:eastAsia="Times New Roman" w:hAnsi="Arial" w:cs="Arial"/>
          <w:bCs/>
          <w:i/>
          <w:kern w:val="0"/>
          <w14:ligatures w14:val="none"/>
        </w:rPr>
        <w:t xml:space="preserve"> </w:t>
      </w:r>
    </w:p>
    <w:p w14:paraId="1EFDEA0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Template 13 – </w:t>
      </w:r>
      <w:r w:rsidRPr="000E114B">
        <w:rPr>
          <w:rFonts w:ascii="Arial" w:eastAsia="Times New Roman" w:hAnsi="Arial" w:cs="Arial"/>
          <w:kern w:val="0"/>
          <w14:ligatures w14:val="none"/>
        </w:rPr>
        <w:t>Managing Entity Monthly Carry Forward Expenditure Report</w:t>
      </w:r>
      <w:r w:rsidRPr="000E114B">
        <w:rPr>
          <w:rFonts w:ascii="Arial" w:eastAsia="Times New Roman" w:hAnsi="Arial" w:cs="Arial"/>
          <w:bCs/>
          <w:kern w:val="0"/>
          <w14:ligatures w14:val="none"/>
        </w:rPr>
        <w:t xml:space="preserve"> </w:t>
      </w:r>
    </w:p>
    <w:p w14:paraId="0E08D23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14 – Cost Allocation Plan</w:t>
      </w:r>
    </w:p>
    <w:p w14:paraId="037615A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15 – Managing Entity Spending Plan for Carry Forward Report</w:t>
      </w:r>
    </w:p>
    <w:p w14:paraId="64295094"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16 – </w:t>
      </w:r>
      <w:r w:rsidRPr="000E114B">
        <w:rPr>
          <w:rFonts w:ascii="Arial" w:eastAsia="Times New Roman" w:hAnsi="Arial" w:cs="Arial"/>
          <w:i/>
          <w:iCs/>
          <w:kern w:val="0"/>
          <w14:ligatures w14:val="none"/>
        </w:rPr>
        <w:t>Reserved</w:t>
      </w:r>
    </w:p>
    <w:p w14:paraId="20051E5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 xml:space="preserve">Template 17 – </w:t>
      </w:r>
      <w:r w:rsidRPr="000E114B">
        <w:rPr>
          <w:rFonts w:ascii="Arial" w:eastAsia="Times New Roman" w:hAnsi="Arial" w:cs="Arial"/>
          <w:i/>
          <w:iCs/>
          <w:kern w:val="0"/>
          <w14:ligatures w14:val="none"/>
        </w:rPr>
        <w:t>Reserved</w:t>
      </w:r>
    </w:p>
    <w:p w14:paraId="7F6A1B5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18 – </w:t>
      </w:r>
      <w:r w:rsidRPr="000E114B">
        <w:rPr>
          <w:rFonts w:ascii="Arial" w:eastAsia="Times New Roman" w:hAnsi="Arial" w:cs="Arial"/>
          <w:i/>
          <w:iCs/>
          <w:kern w:val="0"/>
          <w14:ligatures w14:val="none"/>
        </w:rPr>
        <w:t>Reserved</w:t>
      </w:r>
    </w:p>
    <w:p w14:paraId="24A7BEB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19 – </w:t>
      </w:r>
      <w:r w:rsidRPr="000E114B">
        <w:rPr>
          <w:rFonts w:ascii="Arial" w:eastAsia="Times New Roman" w:hAnsi="Arial" w:cs="Arial"/>
          <w:i/>
          <w:iCs/>
          <w:kern w:val="0"/>
          <w14:ligatures w14:val="none"/>
        </w:rPr>
        <w:t>Reserved</w:t>
      </w:r>
    </w:p>
    <w:p w14:paraId="524CFBF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20 –</w:t>
      </w:r>
      <w:r w:rsidRPr="000E114B">
        <w:rPr>
          <w:rFonts w:ascii="Arial" w:eastAsia="Times New Roman" w:hAnsi="Arial" w:cs="Arial"/>
          <w:i/>
          <w:iCs/>
          <w:kern w:val="0"/>
          <w14:ligatures w14:val="none"/>
        </w:rPr>
        <w:t xml:space="preserve"> Reserved</w:t>
      </w:r>
    </w:p>
    <w:p w14:paraId="6E6A885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21 – Monthly Care Coordination Report</w:t>
      </w:r>
    </w:p>
    <w:p w14:paraId="07FC92F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22 – Forensic Mental Health Services Report</w:t>
      </w:r>
    </w:p>
    <w:p w14:paraId="7F9F24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23 – Forensic Diversion Report</w:t>
      </w:r>
    </w:p>
    <w:p w14:paraId="174A7471" w14:textId="77777777" w:rsidR="000E114B" w:rsidRPr="000E114B" w:rsidRDefault="000E114B" w:rsidP="006A3560">
      <w:pPr>
        <w:widowControl w:val="0"/>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24 – CCP Supplemental Invoice and Expenditure Report</w:t>
      </w:r>
    </w:p>
    <w:p w14:paraId="1E61DB8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25 – Forensic Multidisciplinary Team Report</w:t>
      </w:r>
    </w:p>
    <w:p w14:paraId="2B2ED68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26 – </w:t>
      </w:r>
      <w:r w:rsidRPr="000E114B">
        <w:rPr>
          <w:rFonts w:ascii="Arial" w:eastAsia="Times New Roman" w:hAnsi="Arial" w:cs="Arial"/>
          <w:i/>
          <w:iCs/>
          <w:kern w:val="0"/>
          <w14:ligatures w14:val="none"/>
        </w:rPr>
        <w:t>Reserved</w:t>
      </w:r>
    </w:p>
    <w:p w14:paraId="3EE7E942"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27 – </w:t>
      </w:r>
      <w:r w:rsidRPr="000E114B">
        <w:rPr>
          <w:rFonts w:ascii="Arial" w:eastAsia="Times New Roman" w:hAnsi="Arial" w:cs="Arial"/>
          <w:i/>
          <w:iCs/>
          <w:kern w:val="0"/>
          <w14:ligatures w14:val="none"/>
        </w:rPr>
        <w:t>Reserved</w:t>
      </w:r>
    </w:p>
    <w:p w14:paraId="61EC4D0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28 – Mobile Response Team Report</w:t>
      </w:r>
    </w:p>
    <w:p w14:paraId="4153433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29 – FACT Quarterly Report</w:t>
      </w:r>
    </w:p>
    <w:p w14:paraId="324711C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30 – Proviso Project Return on Investment Report</w:t>
      </w:r>
    </w:p>
    <w:p w14:paraId="6B8246A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Template 31 – </w:t>
      </w:r>
      <w:r w:rsidRPr="000E114B">
        <w:rPr>
          <w:rFonts w:ascii="Arial" w:eastAsia="Times New Roman" w:hAnsi="Arial" w:cs="Arial"/>
          <w:i/>
          <w:iCs/>
          <w:kern w:val="0"/>
          <w14:ligatures w14:val="none"/>
        </w:rPr>
        <w:t>Reserved</w:t>
      </w:r>
    </w:p>
    <w:p w14:paraId="7FDE41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Template 32 – Transitional Voucher Incidental Report</w:t>
      </w:r>
    </w:p>
    <w:p w14:paraId="0C94DEB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33 – Community Forensic Beds Report</w:t>
      </w:r>
    </w:p>
    <w:p w14:paraId="463111C9"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34 – SOR Reports</w:t>
      </w:r>
    </w:p>
    <w:p w14:paraId="638416CC"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35 – FY 2023-24 $126M Tracking Tool</w:t>
      </w:r>
    </w:p>
    <w:p w14:paraId="5D6B749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36 – Sustainability Plan for Nonrecurring Funds</w:t>
      </w:r>
    </w:p>
    <w:p w14:paraId="7E648E95"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37 – Coordinated Opioid Recovery (CORE) Network Quarterly Narrative Report</w:t>
      </w:r>
    </w:p>
    <w:p w14:paraId="72BEE02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Template 38 – Coordinated Opioid Recovery (CORE) Network Quarterly Data Report</w:t>
      </w:r>
    </w:p>
    <w:p w14:paraId="1FA9A23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Financial and Services Accountability Management System (FASAMS) Pamphlet 155-2, available at: </w:t>
      </w:r>
      <w:hyperlink r:id="rId5">
        <w:r w:rsidRPr="000E114B">
          <w:rPr>
            <w:rFonts w:ascii="Arial" w:eastAsia="Times New Roman" w:hAnsi="Arial" w:cs="Arial"/>
            <w:color w:val="0563C1"/>
            <w:kern w:val="0"/>
            <w:u w:val="single"/>
            <w14:ligatures w14:val="none"/>
          </w:rPr>
          <w:t>Financial and Services Accountability Management System - FASAMS | Florida DCF (myflfamilies.com)</w:t>
        </w:r>
      </w:hyperlink>
      <w:r w:rsidRPr="000E114B">
        <w:rPr>
          <w:rFonts w:ascii="Arial" w:eastAsia="Times New Roman" w:hAnsi="Arial" w:cs="Arial"/>
          <w:kern w:val="0"/>
          <w14:ligatures w14:val="none"/>
        </w:rPr>
        <w:t>, https://www.myflfamilies.com/services/samh/providers/FASAMS</w:t>
      </w:r>
    </w:p>
    <w:p w14:paraId="49C0E96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Unless otherwise specified in this Contract, all documents incorporated by reference may be located at the following Department webpage location: </w:t>
      </w:r>
      <w:hyperlink r:id="rId6">
        <w:r w:rsidRPr="000E114B">
          <w:rPr>
            <w:rFonts w:ascii="Arial" w:eastAsia="Times New Roman" w:hAnsi="Arial" w:cs="Arial"/>
            <w:color w:val="0563C1"/>
            <w:kern w:val="0"/>
            <w:u w:val="single"/>
            <w14:ligatures w14:val="none"/>
          </w:rPr>
          <w:t>Managing Entities | Florida DCF (myflfamilies.com)</w:t>
        </w:r>
      </w:hyperlink>
      <w:r w:rsidRPr="000E114B">
        <w:rPr>
          <w:rFonts w:ascii="Arial" w:eastAsia="Times New Roman" w:hAnsi="Arial" w:cs="Arial"/>
          <w:kern w:val="0"/>
          <w14:ligatures w14:val="none"/>
        </w:rPr>
        <w:t>, https://myflfamilies.com/services/samh/providers/managing-entities</w:t>
      </w:r>
    </w:p>
    <w:p w14:paraId="08C7E573"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Copies of these documents may also be obtained from the Department, 2415 North Monroe Street, Suite 400, Tallahassee, FL 32303. </w:t>
      </w:r>
    </w:p>
    <w:p w14:paraId="77BA2100"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in its role as the Mental Health and Substance Abuse Authority of Florida, shall be responsible for making final determinations regarding service delivery in the event of any perceived ambiguity within this Contract.</w:t>
      </w:r>
    </w:p>
    <w:p w14:paraId="3A90EDFE"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Program Specific Terms</w:t>
      </w:r>
    </w:p>
    <w:p w14:paraId="6506FFD0"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1.6.1.3</w:t>
      </w:r>
      <w:r w:rsidRPr="000E114B">
        <w:rPr>
          <w:rFonts w:ascii="Arial" w:eastAsia="Times New Roman" w:hAnsi="Arial" w:cs="Arial"/>
          <w:kern w:val="0"/>
          <w14:ligatures w14:val="none"/>
        </w:rPr>
        <w:t xml:space="preserve">, the definitions in </w:t>
      </w:r>
      <w:r w:rsidRPr="000E114B">
        <w:rPr>
          <w:rFonts w:ascii="Arial" w:eastAsia="Times New Roman" w:hAnsi="Arial" w:cs="Arial"/>
          <w:b/>
          <w:kern w:val="0"/>
          <w14:ligatures w14:val="none"/>
        </w:rPr>
        <w:t>Exhibit A1</w:t>
      </w:r>
      <w:r w:rsidRPr="000E114B">
        <w:rPr>
          <w:rFonts w:ascii="Arial" w:eastAsia="Times New Roman" w:hAnsi="Arial" w:cs="Arial"/>
          <w:kern w:val="0"/>
          <w14:ligatures w14:val="none"/>
        </w:rPr>
        <w:t xml:space="preserve"> apply to this Contract.</w:t>
      </w:r>
    </w:p>
    <w:p w14:paraId="5890C6E5"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
          <w:bCs/>
          <w:kern w:val="0"/>
          <w14:ligatures w14:val="none"/>
        </w:rPr>
      </w:pPr>
      <w:bookmarkStart w:id="0" w:name="_Hlk139958011"/>
      <w:r w:rsidRPr="000E114B">
        <w:rPr>
          <w:rFonts w:ascii="Arial" w:eastAsia="Calibri" w:hAnsi="Arial" w:cs="Arial"/>
          <w:b/>
          <w:bCs/>
          <w:kern w:val="0"/>
          <w14:ligatures w14:val="none"/>
        </w:rPr>
        <w:t>The following supplements Section 1.4</w:t>
      </w:r>
    </w:p>
    <w:p w14:paraId="452B3474"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 xml:space="preserve">All communication, including but not limited to contract budget, policy clarifications, or other guidance must be directed to the Contract Manager. The Department will communicate all final decisions in writing. The Managing Entity shall not </w:t>
      </w:r>
      <w:proofErr w:type="gramStart"/>
      <w:r w:rsidRPr="000E114B">
        <w:rPr>
          <w:rFonts w:ascii="Arial" w:eastAsia="Calibri" w:hAnsi="Arial" w:cs="Arial"/>
          <w:kern w:val="0"/>
          <w14:ligatures w14:val="none"/>
        </w:rPr>
        <w:t>take action</w:t>
      </w:r>
      <w:proofErr w:type="gramEnd"/>
      <w:r w:rsidRPr="000E114B">
        <w:rPr>
          <w:rFonts w:ascii="Arial" w:eastAsia="Calibri" w:hAnsi="Arial" w:cs="Arial"/>
          <w:kern w:val="0"/>
          <w14:ligatures w14:val="none"/>
        </w:rPr>
        <w:t xml:space="preserve"> on information that is communicated verbally.</w:t>
      </w:r>
    </w:p>
    <w:bookmarkEnd w:id="0"/>
    <w:p w14:paraId="25882A3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STATEMENT OF WORK </w:t>
      </w:r>
    </w:p>
    <w:p w14:paraId="73C9802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bookmarkStart w:id="1" w:name="_Hlk135896726"/>
      <w:r w:rsidRPr="000E114B">
        <w:rPr>
          <w:rFonts w:ascii="Arial" w:eastAsia="Times New Roman" w:hAnsi="Arial" w:cs="Arial"/>
          <w:bCs/>
          <w:kern w:val="0"/>
          <w14:ligatures w14:val="none"/>
        </w:rPr>
        <w:t xml:space="preserve">There are no additional provisions to this section of the Contract. </w:t>
      </w:r>
    </w:p>
    <w:bookmarkEnd w:id="1"/>
    <w:p w14:paraId="1445A2F9"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lastRenderedPageBreak/>
        <w:t xml:space="preserve">PAYMENT, INVOICE AND RELATED TERMS </w:t>
      </w:r>
    </w:p>
    <w:p w14:paraId="4E89DF6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1A4D68E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GENERAL TERMS AND CONDITIONS GOVERNING PERFORMANCE </w:t>
      </w:r>
    </w:p>
    <w:p w14:paraId="26BE8657"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terms of </w:t>
      </w:r>
      <w:r w:rsidRPr="000E114B">
        <w:rPr>
          <w:rFonts w:ascii="Arial" w:eastAsia="Times New Roman" w:hAnsi="Arial" w:cs="Arial"/>
          <w:b/>
          <w:kern w:val="0"/>
          <w14:ligatures w14:val="none"/>
        </w:rPr>
        <w:t>Section 4.6</w:t>
      </w:r>
      <w:r w:rsidRPr="000E114B">
        <w:rPr>
          <w:rFonts w:ascii="Arial" w:eastAsia="Times New Roman" w:hAnsi="Arial" w:cs="Arial"/>
          <w:kern w:val="0"/>
          <w14:ligatures w14:val="none"/>
        </w:rPr>
        <w:t xml:space="preserve">, the Managing Entity may subcontract with Network Service Providers without advance approval in writing by the Department. </w:t>
      </w:r>
    </w:p>
    <w:p w14:paraId="76348D52"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Insurance</w:t>
      </w:r>
    </w:p>
    <w:p w14:paraId="591E7B3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In addition to the provisions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xml:space="preserve">, the following Special Insurance Provisions shall apply to this Contract. In the event of any inconsistency between the requirements of this section and the requirements of </w:t>
      </w:r>
      <w:r w:rsidRPr="000E114B">
        <w:rPr>
          <w:rFonts w:ascii="Arial" w:eastAsia="Times New Roman" w:hAnsi="Arial" w:cs="Arial"/>
          <w:b/>
          <w:kern w:val="0"/>
          <w14:ligatures w14:val="none"/>
        </w:rPr>
        <w:t>Section 4.8</w:t>
      </w:r>
      <w:r w:rsidRPr="000E114B">
        <w:rPr>
          <w:rFonts w:ascii="Arial" w:eastAsia="Times New Roman" w:hAnsi="Arial" w:cs="Arial"/>
          <w:kern w:val="0"/>
          <w14:ligatures w14:val="none"/>
        </w:rPr>
        <w:t>, the provisions of this section shall prevail and control.</w:t>
      </w:r>
    </w:p>
    <w:p w14:paraId="0169297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notify the Contract Manager within 30 calendar days if there is a modification to the terms of insurance including but not limited to, cancellation or modification to policy limits.</w:t>
      </w:r>
    </w:p>
    <w:p w14:paraId="3A68C78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acknowledges that, as an independent contractor, the Managing Entity and its Network Service Providers at all tiers are not covered by the State of Florida Risk Management Trust Fund for liability created by </w:t>
      </w:r>
      <w:bookmarkStart w:id="2" w:name="_Hlk135898247"/>
      <w:r w:rsidRPr="000E114B">
        <w:rPr>
          <w:rFonts w:ascii="Arial" w:eastAsia="Times New Roman" w:hAnsi="Arial" w:cs="Arial"/>
          <w:kern w:val="0"/>
          <w14:ligatures w14:val="none"/>
        </w:rPr>
        <w:t>§</w:t>
      </w:r>
      <w:bookmarkEnd w:id="2"/>
      <w:r w:rsidRPr="000E114B">
        <w:rPr>
          <w:rFonts w:ascii="Arial" w:eastAsia="Times New Roman" w:hAnsi="Arial" w:cs="Arial"/>
          <w:kern w:val="0"/>
          <w14:ligatures w14:val="none"/>
        </w:rPr>
        <w:t xml:space="preserve"> 284.30, F.S.</w:t>
      </w:r>
    </w:p>
    <w:p w14:paraId="60BC0F5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a comprehensive general liability insurance coverage (broad form coverage), specifically including premises, fire and legal liability to cover managing the Managing Entity and all its employees. The limits of the Managing Entity’s coverage shall be no less than $300,000 per occurrence with a minimal annual aggregate of no less than $1,000,000. </w:t>
      </w:r>
    </w:p>
    <w:p w14:paraId="29A64F5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With the exception of any state agency or subdivision as defined by § 768.28(2), F.S., the Managing Entity shall cause all Network Service Providers, at all tiers, who the Managing Entity reasonably determines to present a risk of significant loss to the Managing Entity or the Department, to obtain and provide proof to the Managing Entity and the Department a comprehensive general liability insurance coverage (broad form coverage), specifically including premises, fire and legal liability covering the Network Service Provider and all its employees. The limits of coverage for the Managing Entity’s Network Service Providers, at all tiers, shall be in such amounts as the Managing Entity reasonably determines to be sufficient to cover the risk of loss.</w:t>
      </w:r>
    </w:p>
    <w:p w14:paraId="6C3F3777"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the Managing Entity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503FAF2A"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If any officer, employee, or agent of any Network Service Provider, at all tiers, operates a motor vehicle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362FBD7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obtain and provide proof to the Department of professional liability insurance coverage, including errors and omissions coverage, to cover the Managing Entity and all its employees. If any officer, employee, or agent of the Managing Entity administers any prescription drug or medication or controlled substance </w:t>
      </w:r>
      <w:proofErr w:type="gramStart"/>
      <w:r w:rsidRPr="000E114B">
        <w:rPr>
          <w:rFonts w:ascii="Arial" w:eastAsia="Times New Roman" w:hAnsi="Arial" w:cs="Arial"/>
          <w:kern w:val="0"/>
          <w14:ligatures w14:val="none"/>
        </w:rPr>
        <w:t>in the course of</w:t>
      </w:r>
      <w:proofErr w:type="gramEnd"/>
      <w:r w:rsidRPr="000E114B">
        <w:rPr>
          <w:rFonts w:ascii="Arial" w:eastAsia="Times New Roman" w:hAnsi="Arial" w:cs="Arial"/>
          <w:kern w:val="0"/>
          <w14:ligatures w14:val="none"/>
        </w:rPr>
        <w:t xml:space="preserve"> the performance of the duties of the Managing Entity under this contract, the professional liability coverage shall include medical malpractice liability and errors and omissions coverage, to cover the Managing Entity and all its employees. The limits of the coverage shall be no less than $300,000 per occurrence with a minimal annual aggregate of no less than $1,000,000. </w:t>
      </w:r>
    </w:p>
    <w:p w14:paraId="60855F7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lastRenderedPageBreak/>
        <w:t>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malpractice liability and errors and omissions coverage, to cover all Network Service Provider employees with the same limits.</w:t>
      </w:r>
    </w:p>
    <w:p w14:paraId="77AB55A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0300EAB1"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 or policies. The Managing Entity shall use its best good faith efforts to cause the insurers issuing all such general, automobile, and professional liability insurance to use a policy form with additional insured provisions naming the Department as an additional insured or a form of additional insured endorsement that is acceptable to the Department in the reasonable exercise of its judgment.</w:t>
      </w:r>
    </w:p>
    <w:p w14:paraId="55383CAD"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All such insurance proposed by the Managing Entity shall be submitted to and confirmed by the Contract Manager annually by </w:t>
      </w:r>
      <w:r w:rsidRPr="000E114B">
        <w:rPr>
          <w:rFonts w:ascii="Arial" w:eastAsia="Times New Roman" w:hAnsi="Arial" w:cs="Arial"/>
          <w:b/>
          <w:bCs/>
          <w:kern w:val="0"/>
          <w14:ligatures w14:val="none"/>
        </w:rPr>
        <w:t>March 31</w:t>
      </w:r>
      <w:r w:rsidRPr="000E114B">
        <w:rPr>
          <w:rFonts w:ascii="Arial" w:eastAsia="Times New Roman" w:hAnsi="Arial" w:cs="Arial"/>
          <w:kern w:val="0"/>
          <w14:ligatures w14:val="none"/>
        </w:rPr>
        <w:t>.</w:t>
      </w:r>
    </w:p>
    <w:p w14:paraId="697C916A" w14:textId="77777777" w:rsidR="000E114B" w:rsidRPr="000E114B" w:rsidRDefault="000E114B" w:rsidP="006A3560">
      <w:pPr>
        <w:keepNext/>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In addition to the requirements of </w:t>
      </w:r>
      <w:r w:rsidRPr="000E114B">
        <w:rPr>
          <w:rFonts w:ascii="Arial" w:eastAsia="Calibri" w:hAnsi="Arial" w:cs="Arial"/>
          <w:b/>
          <w:kern w:val="0"/>
          <w14:ligatures w14:val="none"/>
        </w:rPr>
        <w:t>Section 4.8</w:t>
      </w:r>
      <w:r w:rsidRPr="000E114B">
        <w:rPr>
          <w:rFonts w:ascii="Arial" w:eastAsia="Calibri" w:hAnsi="Arial" w:cs="Arial"/>
          <w:bCs/>
          <w:kern w:val="0"/>
          <w14:ligatures w14:val="none"/>
        </w:rPr>
        <w:t>, the Managing Entity shall comply with the publicity requirements mandated in § 394.9082(5)(u), F.S.</w:t>
      </w:r>
    </w:p>
    <w:p w14:paraId="6AE374CF"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RECORDS, AUDITS AND DATA SECURITY </w:t>
      </w:r>
    </w:p>
    <w:p w14:paraId="33051938" w14:textId="77777777" w:rsidR="000E114B" w:rsidRPr="000E114B" w:rsidRDefault="000E114B" w:rsidP="006A3560">
      <w:pPr>
        <w:keepNext/>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Inspections and Corrective Action</w:t>
      </w:r>
    </w:p>
    <w:p w14:paraId="65A54219"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In addition to the terms of </w:t>
      </w:r>
      <w:r w:rsidRPr="000E114B">
        <w:rPr>
          <w:rFonts w:ascii="Arial" w:eastAsia="Times New Roman" w:hAnsi="Arial" w:cs="Arial"/>
          <w:b/>
          <w:noProof/>
          <w:kern w:val="0"/>
          <w14:ligatures w14:val="none"/>
        </w:rPr>
        <w:t>Section 5.1</w:t>
      </w:r>
      <w:r w:rsidRPr="000E114B">
        <w:rPr>
          <w:rFonts w:ascii="Arial" w:eastAsia="Times New Roman" w:hAnsi="Arial" w:cs="Arial"/>
          <w:noProof/>
          <w:kern w:val="0"/>
          <w14:ligatures w14:val="none"/>
        </w:rPr>
        <w:t>, the following requirements shall apply to this Contract.</w:t>
      </w:r>
    </w:p>
    <w:p w14:paraId="0FE5A13C"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be monitored in accordance with §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776740B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Department will provide a written report to the Managing Entity within 30 days of the monitoring team’s exit. If the report indicates corrective action is necessary, the Managing Entity shall provide a proposed corrective action plan for the Department’s approval, except in the case of threat to life or safety of Individuals Served, in which case the Managing Entity shall take immediate action to ameliorate the threat and associated causes.</w:t>
      </w:r>
    </w:p>
    <w:p w14:paraId="4F2A254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w:t>
      </w:r>
      <w:proofErr w:type="gramStart"/>
      <w:r w:rsidRPr="000E114B">
        <w:rPr>
          <w:rFonts w:ascii="Arial" w:eastAsia="Times New Roman" w:hAnsi="Arial" w:cs="Arial"/>
          <w:kern w:val="0"/>
          <w14:ligatures w14:val="none"/>
        </w:rPr>
        <w:t>cooperate at all times</w:t>
      </w:r>
      <w:proofErr w:type="gramEnd"/>
      <w:r w:rsidRPr="000E114B">
        <w:rPr>
          <w:rFonts w:ascii="Arial" w:eastAsia="Times New Roman" w:hAnsi="Arial" w:cs="Arial"/>
          <w:kern w:val="0"/>
          <w14:ligatures w14:val="none"/>
        </w:rPr>
        <w:t xml:space="preserve"> with the Department to conduct these reviews and shall provide all documentation requested by the reviewers in a timely manner at its administrative office or other location, as determined by the Department.</w:t>
      </w:r>
    </w:p>
    <w:p w14:paraId="1EE550F1" w14:textId="77777777" w:rsidR="000E114B" w:rsidRPr="000E114B" w:rsidRDefault="000E114B" w:rsidP="006A3560">
      <w:pPr>
        <w:numPr>
          <w:ilvl w:val="2"/>
          <w:numId w:val="1"/>
        </w:numPr>
        <w:tabs>
          <w:tab w:val="num"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Managing Entity shall comply with the Department and its authorized representatives contracted to conduct operational and financial audits in accordance with § 394.9082(3), F.S. At no cost to the Department or its authorized representatives, the Managing Entity shall provide the right of access to all programmatic, administrative, management, budget, and financial information deemed necessary by the Department or its authorized representatives to complete the required operational and financial audits. This right also includes timely and reasonable access to the Managing Entity’s personnel for the purpose of </w:t>
      </w:r>
      <w:r w:rsidRPr="000E114B">
        <w:rPr>
          <w:rFonts w:ascii="Arial" w:eastAsia="Times New Roman" w:hAnsi="Arial" w:cs="Arial"/>
          <w:kern w:val="0"/>
          <w14:ligatures w14:val="none"/>
        </w:rPr>
        <w:lastRenderedPageBreak/>
        <w:t>interview and discussion related to such documents or this Contract in general. The Managing Entity shall provide any data or information requested by the Department or its authorized representatives as part of these audits within one business day, unless a later submission date is expressly authorized by the Department. The operational and financial audits of the Managing Entity shall consist of a</w:t>
      </w:r>
      <w:r w:rsidRPr="000E114B">
        <w:rPr>
          <w:rFonts w:ascii="Arial" w:eastAsia="Times New Roman" w:hAnsi="Arial" w:cs="Times New Roman"/>
          <w:kern w:val="0"/>
          <w:szCs w:val="20"/>
          <w14:ligatures w14:val="none"/>
        </w:rPr>
        <w:t xml:space="preserve"> review of business practices, personnel, financial records, related parties, compensation, and other areas as determined by the Department</w:t>
      </w:r>
      <w:r w:rsidRPr="000E114B">
        <w:rPr>
          <w:rFonts w:ascii="Arial" w:eastAsia="Times New Roman" w:hAnsi="Arial" w:cs="Arial"/>
          <w:kern w:val="0"/>
          <w14:ligatures w14:val="none"/>
        </w:rPr>
        <w:t xml:space="preserve"> and shall include the following:</w:t>
      </w:r>
    </w:p>
    <w:p w14:paraId="5E5EE4D9" w14:textId="77777777" w:rsidR="000E114B" w:rsidRPr="000E114B" w:rsidRDefault="000E114B" w:rsidP="006A3560">
      <w:pPr>
        <w:numPr>
          <w:ilvl w:val="3"/>
          <w:numId w:val="1"/>
        </w:numPr>
        <w:tabs>
          <w:tab w:val="left" w:pos="81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services administered, the method of provider payment, expenditures, outcomes, and other information as determined by the Department. </w:t>
      </w:r>
    </w:p>
    <w:p w14:paraId="797E349E" w14:textId="77777777" w:rsidR="000E114B" w:rsidRPr="000E114B" w:rsidRDefault="000E114B" w:rsidP="006A3560">
      <w:pPr>
        <w:numPr>
          <w:ilvl w:val="3"/>
          <w:numId w:val="1"/>
        </w:numPr>
        <w:tabs>
          <w:tab w:val="left"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Referral patterns, including the Managing Entity’s referral volume; provider referral assignments; services referred; length of time to obtain services; and key referral performance measures.  </w:t>
      </w:r>
    </w:p>
    <w:p w14:paraId="79B57ECA" w14:textId="77777777" w:rsidR="000E114B" w:rsidRPr="000E114B" w:rsidRDefault="000E114B" w:rsidP="006A3560">
      <w:pPr>
        <w:numPr>
          <w:ilvl w:val="3"/>
          <w:numId w:val="1"/>
        </w:numPr>
        <w:tabs>
          <w:tab w:val="left" w:pos="990"/>
          <w:tab w:val="left" w:pos="135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Provider network adequacy and provider network participation in the Department's available bed platform, the Opioid Data Management System, the Agency for Health Care Administration Event Notification Service, and other Department required provider data submissions.  </w:t>
      </w:r>
    </w:p>
    <w:p w14:paraId="42CE1314"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Audits of the Managing Entity's expenditures and claims that include the following:  </w:t>
      </w:r>
    </w:p>
    <w:p w14:paraId="76BEBE4E" w14:textId="77777777" w:rsidR="000E114B" w:rsidRPr="000E114B" w:rsidRDefault="000E114B" w:rsidP="006A3560">
      <w:pPr>
        <w:numPr>
          <w:ilvl w:val="4"/>
          <w:numId w:val="1"/>
        </w:numPr>
        <w:tabs>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Comparison of services administered through</w:t>
      </w:r>
      <w:bookmarkStart w:id="3" w:name="_Hlk200362417"/>
      <w:r w:rsidRPr="000E114B">
        <w:rPr>
          <w:rFonts w:ascii="Arial" w:eastAsia="Times New Roman" w:hAnsi="Arial" w:cs="Times New Roman"/>
          <w:kern w:val="0"/>
          <w:szCs w:val="20"/>
          <w14:ligatures w14:val="none"/>
        </w:rPr>
        <w:t xml:space="preserve"> the Managing Entit</w:t>
      </w:r>
      <w:bookmarkEnd w:id="3"/>
      <w:r w:rsidRPr="000E114B">
        <w:rPr>
          <w:rFonts w:ascii="Arial" w:eastAsia="Times New Roman" w:hAnsi="Arial" w:cs="Times New Roman"/>
          <w:kern w:val="0"/>
          <w:szCs w:val="20"/>
          <w14:ligatures w14:val="none"/>
        </w:rPr>
        <w:t xml:space="preserve">y, the outcomes of the Managing Entity's expenditures, the Managing Entity's expenditures for behavioral health services, and any other information as determined by the Department.  </w:t>
      </w:r>
    </w:p>
    <w:p w14:paraId="0E97A096" w14:textId="77777777" w:rsidR="000E114B" w:rsidRPr="000E114B" w:rsidRDefault="000E114B" w:rsidP="006A3560">
      <w:pPr>
        <w:numPr>
          <w:ilvl w:val="4"/>
          <w:numId w:val="1"/>
        </w:numPr>
        <w:tabs>
          <w:tab w:val="num" w:pos="72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Analysis of services funded by the Managing Entity rendered to individuals who are also Medicaid beneficiaries to, at a minimum, assess the extent to which the Managing Entity is funding services that are also available as covered services under the Medicaid program.</w:t>
      </w:r>
    </w:p>
    <w:p w14:paraId="69F863D8" w14:textId="77777777" w:rsidR="000E114B" w:rsidRPr="000E114B" w:rsidRDefault="000E114B" w:rsidP="006A3560">
      <w:pPr>
        <w:numPr>
          <w:ilvl w:val="3"/>
          <w:numId w:val="1"/>
        </w:numPr>
        <w:tabs>
          <w:tab w:val="num" w:pos="1350"/>
          <w:tab w:val="left" w:pos="1980"/>
        </w:tabs>
        <w:spacing w:before="60" w:after="60" w:line="240" w:lineRule="auto"/>
        <w:ind w:left="0" w:firstLine="0"/>
        <w:outlineLvl w:val="0"/>
        <w:rPr>
          <w:rFonts w:ascii="Arial" w:eastAsia="Times New Roman" w:hAnsi="Arial" w:cs="Times New Roman"/>
          <w:kern w:val="0"/>
          <w:szCs w:val="20"/>
          <w14:ligatures w14:val="none"/>
        </w:rPr>
      </w:pPr>
      <w:r w:rsidRPr="000E114B">
        <w:rPr>
          <w:rFonts w:ascii="Arial" w:eastAsia="Times New Roman" w:hAnsi="Arial" w:cs="Times New Roman"/>
          <w:kern w:val="0"/>
          <w:szCs w:val="20"/>
          <w14:ligatures w14:val="none"/>
        </w:rPr>
        <w:t xml:space="preserve">The Department’s and its authorized representatives’ rights of access shall last </w:t>
      </w:r>
      <w:proofErr w:type="gramStart"/>
      <w:r w:rsidRPr="000E114B">
        <w:rPr>
          <w:rFonts w:ascii="Arial" w:eastAsia="Times New Roman" w:hAnsi="Arial" w:cs="Times New Roman"/>
          <w:kern w:val="0"/>
          <w:szCs w:val="20"/>
          <w14:ligatures w14:val="none"/>
        </w:rPr>
        <w:t>as long as</w:t>
      </w:r>
      <w:proofErr w:type="gramEnd"/>
      <w:r w:rsidRPr="000E114B">
        <w:rPr>
          <w:rFonts w:ascii="Arial" w:eastAsia="Times New Roman" w:hAnsi="Arial" w:cs="Times New Roman"/>
          <w:kern w:val="0"/>
          <w:szCs w:val="20"/>
          <w14:ligatures w14:val="none"/>
        </w:rPr>
        <w:t xml:space="preserve"> the records are retained.</w:t>
      </w:r>
    </w:p>
    <w:p w14:paraId="791B4F00"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INSPECTIONS, PENALTIES, AND TERMINATION </w:t>
      </w:r>
    </w:p>
    <w:p w14:paraId="27B2A4AB"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Termination</w:t>
      </w:r>
    </w:p>
    <w:p w14:paraId="0B63FCB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 xml:space="preserve">The provisions of </w:t>
      </w:r>
      <w:r w:rsidRPr="000E114B">
        <w:rPr>
          <w:rFonts w:ascii="Arial" w:eastAsia="Times New Roman" w:hAnsi="Arial" w:cs="Arial"/>
          <w:b/>
          <w:noProof/>
          <w:kern w:val="0"/>
          <w14:ligatures w14:val="none"/>
        </w:rPr>
        <w:t>Section 6.2.1</w:t>
      </w:r>
      <w:r w:rsidRPr="000E114B">
        <w:rPr>
          <w:rFonts w:ascii="Arial" w:eastAsia="Times New Roman" w:hAnsi="Arial" w:cs="Arial"/>
          <w:noProof/>
          <w:kern w:val="0"/>
          <w14:ligatures w14:val="none"/>
        </w:rPr>
        <w:t xml:space="preserve"> and </w:t>
      </w:r>
      <w:r w:rsidRPr="000E114B">
        <w:rPr>
          <w:rFonts w:ascii="Arial" w:eastAsia="Times New Roman" w:hAnsi="Arial" w:cs="Arial"/>
          <w:b/>
          <w:noProof/>
          <w:kern w:val="0"/>
          <w14:ligatures w14:val="none"/>
        </w:rPr>
        <w:t>Section 6.2.2</w:t>
      </w:r>
      <w:r w:rsidRPr="000E114B">
        <w:rPr>
          <w:rFonts w:ascii="Arial" w:eastAsia="Times New Roman" w:hAnsi="Arial" w:cs="Arial"/>
          <w:noProof/>
          <w:kern w:val="0"/>
          <w14:ligatures w14:val="none"/>
        </w:rPr>
        <w:t xml:space="preserve"> are hereby modified and superseded as follows. The remaining clauses of </w:t>
      </w:r>
      <w:r w:rsidRPr="000E114B">
        <w:rPr>
          <w:rFonts w:ascii="Arial" w:eastAsia="Times New Roman" w:hAnsi="Arial" w:cs="Arial"/>
          <w:b/>
          <w:noProof/>
          <w:kern w:val="0"/>
          <w14:ligatures w14:val="none"/>
        </w:rPr>
        <w:t>Section 6</w:t>
      </w:r>
      <w:r w:rsidRPr="000E114B">
        <w:rPr>
          <w:rFonts w:ascii="Arial" w:eastAsia="Times New Roman" w:hAnsi="Arial" w:cs="Arial"/>
          <w:noProof/>
          <w:kern w:val="0"/>
          <w14:ligatures w14:val="none"/>
        </w:rPr>
        <w:t xml:space="preserve"> remain in effect. </w:t>
      </w:r>
    </w:p>
    <w:p w14:paraId="15E345C9"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6.2.1</w:t>
      </w:r>
      <w:r w:rsidRPr="000E114B">
        <w:rPr>
          <w:rFonts w:ascii="Arial" w:eastAsia="Times New Roman" w:hAnsi="Arial" w:cs="Arial"/>
          <w:kern w:val="0"/>
          <w14:ligatures w14:val="none"/>
        </w:rPr>
        <w:t>, in accordance with Section 22 of PUR 1000 Form, this Contract may be terminated by the Department without cause upon no less than 180 calendar days’ notice in writing to the Provider unless a sooner time is mutually agreed upon in writing.</w:t>
      </w:r>
    </w:p>
    <w:p w14:paraId="4AF8FE2B"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Notwithstanding the provisions of </w:t>
      </w:r>
      <w:r w:rsidRPr="000E114B">
        <w:rPr>
          <w:rFonts w:ascii="Arial" w:eastAsia="Times New Roman" w:hAnsi="Arial" w:cs="Arial"/>
          <w:b/>
          <w:kern w:val="0"/>
          <w14:ligatures w14:val="none"/>
        </w:rPr>
        <w:t>Section 6.2.2</w:t>
      </w:r>
      <w:r w:rsidRPr="000E114B">
        <w:rPr>
          <w:rFonts w:ascii="Arial" w:eastAsia="Times New Roman" w:hAnsi="Arial" w:cs="Arial"/>
          <w:kern w:val="0"/>
          <w14:ligatures w14:val="none"/>
        </w:rPr>
        <w:t>, this Contract may be terminated by the Provider upon no less than 180 calendar days’ notice in writing to the Department unless a sooner time is mutually agreed upon in writing.</w:t>
      </w:r>
    </w:p>
    <w:p w14:paraId="4D3BA2C5" w14:textId="77777777" w:rsidR="000E114B" w:rsidRPr="000E114B" w:rsidRDefault="000E114B" w:rsidP="006A3560">
      <w:pPr>
        <w:numPr>
          <w:ilvl w:val="1"/>
          <w:numId w:val="1"/>
        </w:numPr>
        <w:tabs>
          <w:tab w:val="left" w:pos="1260"/>
        </w:tabs>
        <w:spacing w:before="60" w:after="60" w:line="240" w:lineRule="auto"/>
        <w:ind w:left="0" w:firstLine="0"/>
        <w:outlineLvl w:val="0"/>
        <w:rPr>
          <w:rFonts w:ascii="Arial" w:eastAsia="Times New Roman" w:hAnsi="Arial" w:cs="Arial"/>
          <w:b/>
          <w:kern w:val="0"/>
          <w14:ligatures w14:val="none"/>
        </w:rPr>
      </w:pPr>
      <w:r w:rsidRPr="000E114B">
        <w:rPr>
          <w:rFonts w:ascii="Arial" w:eastAsia="Times New Roman" w:hAnsi="Arial" w:cs="Arial"/>
          <w:b/>
          <w:kern w:val="0"/>
          <w14:ligatures w14:val="none"/>
        </w:rPr>
        <w:t>Dispute Resolution</w:t>
      </w:r>
    </w:p>
    <w:p w14:paraId="03E02FAB" w14:textId="77777777" w:rsidR="000E114B" w:rsidRPr="000E114B" w:rsidRDefault="000E114B" w:rsidP="006A3560">
      <w:pPr>
        <w:spacing w:before="60" w:after="60" w:line="240" w:lineRule="auto"/>
        <w:outlineLvl w:val="0"/>
        <w:rPr>
          <w:rFonts w:ascii="Arial" w:eastAsia="Times New Roman" w:hAnsi="Arial" w:cs="Arial"/>
          <w:noProof/>
          <w:kern w:val="0"/>
          <w14:ligatures w14:val="none"/>
        </w:rPr>
      </w:pPr>
      <w:r w:rsidRPr="000E114B">
        <w:rPr>
          <w:rFonts w:ascii="Arial" w:eastAsia="Times New Roman" w:hAnsi="Arial" w:cs="Arial"/>
          <w:noProof/>
          <w:kern w:val="0"/>
          <w14:ligatures w14:val="none"/>
        </w:rPr>
        <w:t>The following Dispute Resolution terms shall apply to this Contract:</w:t>
      </w:r>
    </w:p>
    <w:p w14:paraId="4A916D44"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w:t>
      </w:r>
      <w:r w:rsidRPr="000E114B">
        <w:rPr>
          <w:rFonts w:ascii="Arial" w:eastAsia="Times New Roman" w:hAnsi="Arial" w:cs="Arial"/>
          <w:kern w:val="0"/>
          <w14:ligatures w14:val="none"/>
        </w:rPr>
        <w:lastRenderedPageBreak/>
        <w:t xml:space="preserve">Managing Entity’s Chief Executive Officer (CEO) and the Department’s Deputy Assistant Secretary for Substance Abuse and Mental Health. Upon referral to this second step, the respective parties shall confer </w:t>
      </w:r>
      <w:proofErr w:type="gramStart"/>
      <w:r w:rsidRPr="000E114B">
        <w:rPr>
          <w:rFonts w:ascii="Arial" w:eastAsia="Times New Roman" w:hAnsi="Arial" w:cs="Arial"/>
          <w:kern w:val="0"/>
          <w14:ligatures w14:val="none"/>
        </w:rPr>
        <w:t>in an attempt to</w:t>
      </w:r>
      <w:proofErr w:type="gramEnd"/>
      <w:r w:rsidRPr="000E114B">
        <w:rPr>
          <w:rFonts w:ascii="Arial" w:eastAsia="Times New Roman" w:hAnsi="Arial" w:cs="Arial"/>
          <w:kern w:val="0"/>
          <w14:ligatures w14:val="none"/>
        </w:rPr>
        <w:t xml:space="preserve"> resolve the issue.</w:t>
      </w:r>
    </w:p>
    <w:p w14:paraId="4819A1BE" w14:textId="77777777" w:rsidR="000E114B" w:rsidRPr="000E114B" w:rsidRDefault="000E114B" w:rsidP="006A3560">
      <w:pPr>
        <w:numPr>
          <w:ilvl w:val="2"/>
          <w:numId w:val="1"/>
        </w:numPr>
        <w:tabs>
          <w:tab w:val="left" w:pos="900"/>
        </w:tabs>
        <w:spacing w:before="60" w:after="60" w:line="240" w:lineRule="auto"/>
        <w:ind w:left="0" w:firstLine="0"/>
        <w:outlineLvl w:val="0"/>
        <w:rPr>
          <w:rFonts w:ascii="Arial" w:eastAsia="Calibri" w:hAnsi="Arial" w:cs="Arial"/>
          <w:b/>
          <w:bCs/>
          <w:kern w:val="0"/>
          <w:u w:val="single"/>
          <w14:ligatures w14:val="none"/>
        </w:rPr>
      </w:pPr>
      <w:r w:rsidRPr="000E114B">
        <w:rPr>
          <w:rFonts w:ascii="Arial" w:eastAsia="Times New Roman" w:hAnsi="Arial" w:cs="Arial"/>
          <w:kern w:val="0"/>
          <w14:ligatures w14:val="none"/>
        </w:rPr>
        <w:t>If the CEO and Deputy Assistant Secretary are unable to resolve the issue within 10 days, the parties’ appointed representatives shall meet within 10 working days and select a third representative. These three representatives shall meet within 10 working days to seek resolution of the dispute. If the representatives’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1A5EE046"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OTHER TERMS </w:t>
      </w:r>
    </w:p>
    <w:p w14:paraId="44CEA6A2"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kern w:val="0"/>
          <w14:ligatures w14:val="none"/>
        </w:rPr>
        <w:t>The Managing Entity shall comply with all applicable federal and state laws and regulations and all policies, directives and guidelines published by the Department. In the event the Department amends any policies, directives, or guidelines after contract execution, the Department will provide electronic notice to the Managing Entity.</w:t>
      </w:r>
    </w:p>
    <w:p w14:paraId="46DB8073" w14:textId="77777777" w:rsidR="000E114B" w:rsidRPr="000E114B" w:rsidRDefault="000E114B" w:rsidP="006A3560">
      <w:pPr>
        <w:numPr>
          <w:ilvl w:val="1"/>
          <w:numId w:val="1"/>
        </w:numPr>
        <w:spacing w:before="60" w:after="60" w:line="240" w:lineRule="auto"/>
        <w:ind w:left="0" w:firstLine="0"/>
        <w:outlineLvl w:val="0"/>
        <w:rPr>
          <w:rFonts w:ascii="Arial" w:eastAsia="Times New Roman" w:hAnsi="Arial" w:cs="Arial"/>
          <w:kern w:val="0"/>
          <w14:ligatures w14:val="none"/>
        </w:rPr>
      </w:pPr>
      <w:r w:rsidRPr="000E114B">
        <w:rPr>
          <w:rFonts w:ascii="Arial" w:eastAsia="Times New Roman" w:hAnsi="Arial" w:cs="Arial"/>
          <w:b/>
          <w:kern w:val="0"/>
          <w14:ligatures w14:val="none"/>
        </w:rPr>
        <w:t>Exhibit A2</w:t>
      </w:r>
      <w:r w:rsidRPr="000E114B">
        <w:rPr>
          <w:rFonts w:ascii="Arial" w:eastAsia="Times New Roman" w:hAnsi="Arial" w:cs="Arial"/>
          <w:kern w:val="0"/>
          <w14:ligatures w14:val="none"/>
        </w:rPr>
        <w:t xml:space="preserve"> contains additional state and federal laws, rules, and regulations applicable to performance under this Contract.</w:t>
      </w:r>
    </w:p>
    <w:p w14:paraId="6DDB8F52"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FEDERAL FUNDS APPLICABILITY </w:t>
      </w:r>
    </w:p>
    <w:p w14:paraId="1B162A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3C79ED43"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CLIENT SERVICES APPLICABILITY </w:t>
      </w:r>
    </w:p>
    <w:p w14:paraId="2C90066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There are no additional provisions to this section of the Contract. </w:t>
      </w:r>
    </w:p>
    <w:p w14:paraId="2C522F7A" w14:textId="77777777" w:rsidR="000E114B" w:rsidRPr="000E114B" w:rsidRDefault="000E114B" w:rsidP="006A3560">
      <w:pPr>
        <w:numPr>
          <w:ilvl w:val="0"/>
          <w:numId w:val="1"/>
        </w:numPr>
        <w:spacing w:before="60" w:after="60" w:line="240" w:lineRule="auto"/>
        <w:ind w:left="0" w:firstLine="0"/>
        <w:outlineLvl w:val="0"/>
        <w:rPr>
          <w:rFonts w:ascii="Arial" w:eastAsia="Calibri" w:hAnsi="Arial" w:cs="Arial"/>
          <w:b/>
          <w:bCs/>
          <w:kern w:val="0"/>
          <w:u w:val="single"/>
          <w14:ligatures w14:val="none"/>
        </w:rPr>
      </w:pPr>
      <w:r w:rsidRPr="000E114B">
        <w:rPr>
          <w:rFonts w:ascii="Arial" w:eastAsia="Calibri" w:hAnsi="Arial" w:cs="Arial"/>
          <w:b/>
          <w:bCs/>
          <w:kern w:val="0"/>
          <w:u w:val="single"/>
          <w14:ligatures w14:val="none"/>
        </w:rPr>
        <w:t xml:space="preserve">PROPERTY </w:t>
      </w:r>
    </w:p>
    <w:p w14:paraId="67F42C8A" w14:textId="77777777" w:rsidR="000E114B" w:rsidRPr="000E114B" w:rsidRDefault="000E114B" w:rsidP="006A3560">
      <w:pPr>
        <w:numPr>
          <w:ilvl w:val="1"/>
          <w:numId w:val="1"/>
        </w:numPr>
        <w:spacing w:before="60" w:after="60" w:line="240" w:lineRule="auto"/>
        <w:ind w:left="0" w:firstLine="0"/>
        <w:outlineLvl w:val="0"/>
        <w:rPr>
          <w:rFonts w:ascii="Arial" w:eastAsia="Calibri" w:hAnsi="Arial" w:cs="Arial"/>
          <w:bCs/>
          <w:kern w:val="0"/>
          <w14:ligatures w14:val="none"/>
        </w:rPr>
      </w:pPr>
      <w:r w:rsidRPr="000E114B">
        <w:rPr>
          <w:rFonts w:ascii="Arial" w:eastAsia="Calibri" w:hAnsi="Arial" w:cs="Arial"/>
          <w:bCs/>
          <w:kern w:val="0"/>
          <w14:ligatures w14:val="none"/>
        </w:rPr>
        <w:t xml:space="preserve">The Managing Entity shall ensure that Network Service Providers comply with requirements in </w:t>
      </w:r>
      <w:r w:rsidRPr="000E114B">
        <w:rPr>
          <w:rFonts w:ascii="Arial" w:eastAsia="Calibri" w:hAnsi="Arial" w:cs="Arial"/>
          <w:b/>
          <w:kern w:val="0"/>
          <w14:ligatures w14:val="none"/>
        </w:rPr>
        <w:t>Guidance 2 – Tangible Property Requirements</w:t>
      </w:r>
      <w:r w:rsidRPr="000E114B">
        <w:rPr>
          <w:rFonts w:ascii="Arial" w:eastAsia="Calibri" w:hAnsi="Arial" w:cs="Arial"/>
          <w:bCs/>
          <w:kern w:val="0"/>
          <w14:ligatures w14:val="none"/>
        </w:rPr>
        <w:t xml:space="preserve"> and document compliance through the submission of </w:t>
      </w:r>
      <w:r w:rsidRPr="000E114B">
        <w:rPr>
          <w:rFonts w:ascii="Arial" w:eastAsia="Calibri" w:hAnsi="Arial" w:cs="Arial"/>
          <w:b/>
          <w:kern w:val="0"/>
          <w14:ligatures w14:val="none"/>
        </w:rPr>
        <w:t>Template 1 – Provider Tangible Property Inventory Form</w:t>
      </w:r>
      <w:r w:rsidRPr="000E114B">
        <w:rPr>
          <w:rFonts w:ascii="Arial" w:eastAsia="Calibri" w:hAnsi="Arial" w:cs="Arial"/>
          <w:bCs/>
          <w:kern w:val="0"/>
          <w14:ligatures w14:val="none"/>
        </w:rPr>
        <w:t>.</w:t>
      </w:r>
    </w:p>
    <w:p w14:paraId="1D5DA671"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CC6FDA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68FD461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577674BC"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766939B8"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D8377D"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b/>
          <w:bCs/>
          <w:kern w:val="0"/>
          <w14:ligatures w14:val="none"/>
        </w:rPr>
        <w:t>REMAINDER OF PAGE INTENTIONALLY LEFT BLANK</w:t>
      </w:r>
    </w:p>
    <w:p w14:paraId="2AD582C4"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bCs/>
          <w:kern w:val="0"/>
          <w:szCs w:val="20"/>
          <w14:ligatures w14:val="none"/>
        </w:rPr>
        <w:br w:type="page"/>
      </w:r>
    </w:p>
    <w:p w14:paraId="5C065033" w14:textId="77777777" w:rsidR="000E114B" w:rsidRPr="000E114B" w:rsidRDefault="000E114B" w:rsidP="006A3560">
      <w:pPr>
        <w:spacing w:before="60" w:after="60" w:line="240" w:lineRule="auto"/>
        <w:outlineLvl w:val="0"/>
        <w:rPr>
          <w:rFonts w:ascii="Arial" w:eastAsia="Calibri" w:hAnsi="Arial" w:cs="Arial"/>
          <w:bCs/>
          <w:kern w:val="0"/>
          <w14:ligatures w14:val="none"/>
        </w:rPr>
      </w:pPr>
      <w:r w:rsidRPr="000E114B">
        <w:rPr>
          <w:rFonts w:ascii="Arial" w:eastAsia="Times New Roman" w:hAnsi="Arial" w:cs="Arial"/>
          <w:b/>
          <w:kern w:val="0"/>
          <w14:ligatures w14:val="none"/>
        </w:rPr>
        <w:lastRenderedPageBreak/>
        <w:t>EXHIBIT A1 – PROGRAM AND SERVICE SPECIFIC TERMS</w:t>
      </w:r>
    </w:p>
    <w:p w14:paraId="793F9ACD"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Network (BNet)</w:t>
      </w:r>
      <w:r w:rsidRPr="000E114B">
        <w:rPr>
          <w:rFonts w:ascii="Arial" w:eastAsia="Calibri" w:hAnsi="Arial" w:cs="Arial"/>
          <w:caps/>
          <w:kern w:val="0"/>
          <w:u w:val="single"/>
          <w14:ligatures w14:val="none"/>
        </w:rPr>
        <w:t xml:space="preserve"> </w:t>
      </w:r>
    </w:p>
    <w:p w14:paraId="1822A85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statewide network of Behavioral Health Service providers which serve children with mental health or substance use disorders who are ineligible for Medicaid and are determined eligible for Title XXI of the United States Public Health Services Act.</w:t>
      </w:r>
    </w:p>
    <w:p w14:paraId="04A1648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Behavioral Health Services</w:t>
      </w:r>
      <w:r w:rsidRPr="000E114B">
        <w:rPr>
          <w:rFonts w:ascii="Arial" w:eastAsia="Calibri" w:hAnsi="Arial" w:cs="Arial"/>
          <w:caps/>
          <w:kern w:val="0"/>
          <w:u w:val="single"/>
          <w14:ligatures w14:val="none"/>
        </w:rPr>
        <w:t xml:space="preserve"> </w:t>
      </w:r>
    </w:p>
    <w:p w14:paraId="3E9A75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394.9082(2)(a), F.S.</w:t>
      </w:r>
    </w:p>
    <w:p w14:paraId="468B02B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kern w:val="0"/>
          <w14:ligatures w14:val="none"/>
        </w:rPr>
        <w:t>Block Grants</w:t>
      </w:r>
      <w:r w:rsidRPr="000E114B">
        <w:rPr>
          <w:rFonts w:ascii="Arial" w:eastAsia="Calibri" w:hAnsi="Arial" w:cs="Arial"/>
          <w:kern w:val="0"/>
          <w14:ligatures w14:val="none"/>
        </w:rPr>
        <w:t xml:space="preserve"> </w:t>
      </w:r>
    </w:p>
    <w:p w14:paraId="5DF32C7F"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The Community Mental Health Block Grant (CMHBG), pursuant to 42 U.S.C. s. 300x, et seq.; and the Substance Use Prevention, Treatment, and Recovery Services (SUPTRS) block grant, pursuant to 42 U.S.C. s. 300x-21, et seq.</w:t>
      </w:r>
    </w:p>
    <w:p w14:paraId="54FEE91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Continuous Quality Improvement (CQI)</w:t>
      </w:r>
      <w:r w:rsidRPr="000E114B">
        <w:rPr>
          <w:rFonts w:ascii="Arial" w:eastAsia="Calibri" w:hAnsi="Arial" w:cs="Arial"/>
          <w:caps/>
          <w:kern w:val="0"/>
          <w:u w:val="single"/>
          <w14:ligatures w14:val="none"/>
        </w:rPr>
        <w:t xml:space="preserve"> </w:t>
      </w:r>
    </w:p>
    <w:p w14:paraId="523FFE5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ongoing, systematic process of internal and external improvements in service provision and administrative functions, </w:t>
      </w:r>
      <w:proofErr w:type="gramStart"/>
      <w:r w:rsidRPr="000E114B">
        <w:rPr>
          <w:rFonts w:ascii="Arial" w:eastAsia="Calibri" w:hAnsi="Arial" w:cs="Arial"/>
          <w:kern w:val="0"/>
          <w14:ligatures w14:val="none"/>
        </w:rPr>
        <w:t>taking into account</w:t>
      </w:r>
      <w:proofErr w:type="gramEnd"/>
      <w:r w:rsidRPr="000E114B">
        <w:rPr>
          <w:rFonts w:ascii="Arial" w:eastAsia="Calibri" w:hAnsi="Arial" w:cs="Arial"/>
          <w:kern w:val="0"/>
          <w14:ligatures w14:val="none"/>
        </w:rPr>
        <w:t xml:space="preserve"> both in process and end of process indicators, in order to meet the valid requirements of Individuals Served.</w:t>
      </w:r>
    </w:p>
    <w:p w14:paraId="7C0D9FF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Coordinated System of Care</w:t>
      </w:r>
    </w:p>
    <w:p w14:paraId="31BF3F7E"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As defined by § 394.9082(2)(b), F.S.</w:t>
      </w:r>
    </w:p>
    <w:p w14:paraId="10F3A0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Health Record (EHR)</w:t>
      </w:r>
      <w:r w:rsidRPr="000E114B">
        <w:rPr>
          <w:rFonts w:ascii="Arial" w:eastAsia="Calibri" w:hAnsi="Arial" w:cs="Arial"/>
          <w:caps/>
          <w:kern w:val="0"/>
          <w:u w:val="single"/>
          <w14:ligatures w14:val="none"/>
        </w:rPr>
        <w:t xml:space="preserve"> </w:t>
      </w:r>
    </w:p>
    <w:p w14:paraId="6D5DBB9A"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408.051(2)(a), F.S.</w:t>
      </w:r>
    </w:p>
    <w:p w14:paraId="3FF2EC85"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Electronic Vault</w:t>
      </w:r>
      <w:r w:rsidRPr="000E114B">
        <w:rPr>
          <w:rFonts w:ascii="Arial" w:eastAsia="Calibri" w:hAnsi="Arial" w:cs="Arial"/>
          <w:caps/>
          <w:kern w:val="0"/>
          <w:u w:val="single"/>
          <w14:ligatures w14:val="none"/>
        </w:rPr>
        <w:t xml:space="preserve"> </w:t>
      </w:r>
    </w:p>
    <w:p w14:paraId="6568819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An information technology system designed to store, manage, and track electronic versions of original and scanned documents, and to provide remote document access to Department staff. </w:t>
      </w:r>
    </w:p>
    <w:p w14:paraId="7541089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Evidence-Based Practice (EBP)</w:t>
      </w:r>
      <w:r w:rsidRPr="000E114B">
        <w:rPr>
          <w:rFonts w:ascii="Arial" w:eastAsia="Calibri" w:hAnsi="Arial" w:cs="Arial"/>
          <w:caps/>
          <w:kern w:val="0"/>
          <w:u w:val="single"/>
          <w14:ligatures w14:val="none"/>
        </w:rPr>
        <w:t xml:space="preserve"> </w:t>
      </w:r>
    </w:p>
    <w:p w14:paraId="5AF3C7F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w:t>
      </w:r>
      <w:r w:rsidRPr="000E114B">
        <w:rPr>
          <w:rFonts w:ascii="Arial" w:eastAsia="Calibri" w:hAnsi="Arial" w:cs="Arial"/>
          <w:b/>
          <w:kern w:val="0"/>
          <w14:ligatures w14:val="none"/>
        </w:rPr>
        <w:t>Guidance 1 – Evidence-Based Guidelines</w:t>
      </w:r>
      <w:r w:rsidRPr="000E114B">
        <w:rPr>
          <w:rFonts w:ascii="Arial" w:eastAsia="Calibri" w:hAnsi="Arial" w:cs="Arial"/>
          <w:kern w:val="0"/>
          <w14:ligatures w14:val="none"/>
        </w:rPr>
        <w:t xml:space="preserve">. </w:t>
      </w:r>
    </w:p>
    <w:p w14:paraId="554C6990"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14:ligatures w14:val="none"/>
        </w:rPr>
      </w:pPr>
      <w:r w:rsidRPr="000E114B">
        <w:rPr>
          <w:rFonts w:ascii="Arial" w:eastAsia="Calibri" w:hAnsi="Arial" w:cs="Arial"/>
          <w:b/>
          <w:caps/>
          <w:kern w:val="0"/>
          <w:u w:val="single"/>
          <w14:ligatures w14:val="none"/>
        </w:rPr>
        <w:t>Indigent Psychiatric Medication Program</w:t>
      </w:r>
      <w:r w:rsidRPr="000E114B">
        <w:rPr>
          <w:rFonts w:ascii="Arial" w:eastAsia="Calibri" w:hAnsi="Arial" w:cs="Arial"/>
          <w:b/>
          <w:kern w:val="0"/>
          <w14:ligatures w14:val="none"/>
        </w:rPr>
        <w:t>, also known as the Indigent Drug Program (IDP)</w:t>
      </w:r>
      <w:r w:rsidRPr="000E114B">
        <w:rPr>
          <w:rFonts w:ascii="Arial" w:eastAsia="Calibri" w:hAnsi="Arial" w:cs="Arial"/>
          <w:kern w:val="0"/>
          <w14:ligatures w14:val="none"/>
        </w:rPr>
        <w:t xml:space="preserve"> </w:t>
      </w:r>
    </w:p>
    <w:p w14:paraId="6F7A90AD" w14:textId="77777777" w:rsidR="000E114B" w:rsidRPr="000E114B" w:rsidRDefault="000E114B" w:rsidP="006A3560">
      <w:pPr>
        <w:tabs>
          <w:tab w:val="num" w:pos="720"/>
        </w:tabs>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t>Behavioral Health Services provided pursuant to § 394.676, F.S.</w:t>
      </w:r>
    </w:p>
    <w:p w14:paraId="4C0D351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Individual(s) Served</w:t>
      </w:r>
      <w:r w:rsidRPr="000E114B">
        <w:rPr>
          <w:rFonts w:ascii="Arial" w:eastAsia="Calibri" w:hAnsi="Arial" w:cs="Arial"/>
          <w:caps/>
          <w:kern w:val="0"/>
          <w:u w:val="single"/>
          <w14:ligatures w14:val="none"/>
        </w:rPr>
        <w:t xml:space="preserve"> </w:t>
      </w:r>
    </w:p>
    <w:p w14:paraId="31BB3B2E"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 individual who receives substance abuse or mental health services, the cost of which is paid, either in part or whole, by Department appropriated funds or local match (matching).</w:t>
      </w:r>
    </w:p>
    <w:p w14:paraId="76DA1C8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Juvenile Incompetent to Proceed (JITP)</w:t>
      </w:r>
      <w:r w:rsidRPr="000E114B">
        <w:rPr>
          <w:rFonts w:ascii="Arial" w:eastAsia="Calibri" w:hAnsi="Arial" w:cs="Arial"/>
          <w:caps/>
          <w:kern w:val="0"/>
          <w:u w:val="single"/>
          <w14:ligatures w14:val="none"/>
        </w:rPr>
        <w:t xml:space="preserve"> </w:t>
      </w:r>
    </w:p>
    <w:p w14:paraId="2885C94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"Child," "juvenile" or "youth" as defined by § 985.03(7), F.S., deemed incompetent to proceed for accused crimes pursuant to § 985.19, F.S.</w:t>
      </w:r>
    </w:p>
    <w:p w14:paraId="2F86847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Local Match</w:t>
      </w:r>
      <w:r w:rsidRPr="000E114B">
        <w:rPr>
          <w:rFonts w:ascii="Arial" w:eastAsia="Calibri" w:hAnsi="Arial" w:cs="Arial"/>
          <w:caps/>
          <w:kern w:val="0"/>
          <w:u w:val="single"/>
          <w14:ligatures w14:val="none"/>
        </w:rPr>
        <w:t xml:space="preserve"> </w:t>
      </w:r>
    </w:p>
    <w:p w14:paraId="56950932"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Pursuant to § 394.74(2)(b), F.S., and § 394.76, F.S.</w:t>
      </w:r>
    </w:p>
    <w:p w14:paraId="2E8EAAF1"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Managing Entity</w:t>
      </w:r>
      <w:r w:rsidRPr="000E114B">
        <w:rPr>
          <w:rFonts w:ascii="Arial" w:eastAsia="Calibri" w:hAnsi="Arial" w:cs="Arial"/>
          <w:caps/>
          <w:kern w:val="0"/>
          <w:u w:val="single"/>
          <w14:ligatures w14:val="none"/>
        </w:rPr>
        <w:t xml:space="preserve"> </w:t>
      </w:r>
    </w:p>
    <w:p w14:paraId="3240A8FB"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394.9082(2)(e), F.S. Throughout this Contract, the term Managing Entity is synonymous with the definition of Provider in the Department’s Standard Contract.</w:t>
      </w:r>
    </w:p>
    <w:p w14:paraId="759F7F5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Mental Health Services</w:t>
      </w:r>
      <w:r w:rsidRPr="000E114B">
        <w:rPr>
          <w:rFonts w:ascii="Arial" w:eastAsia="Calibri" w:hAnsi="Arial" w:cs="Arial"/>
          <w:caps/>
          <w:kern w:val="0"/>
          <w:u w:val="single"/>
          <w14:ligatures w14:val="none"/>
        </w:rPr>
        <w:t xml:space="preserve"> </w:t>
      </w:r>
    </w:p>
    <w:p w14:paraId="02E45A57"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As defined by § 394.67(16), F.S.</w:t>
      </w:r>
    </w:p>
    <w:p w14:paraId="0D6A5E4D"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Network Service Provider(s)</w:t>
      </w:r>
      <w:r w:rsidRPr="000E114B">
        <w:rPr>
          <w:rFonts w:ascii="Arial" w:eastAsia="Calibri" w:hAnsi="Arial" w:cs="Arial"/>
          <w:caps/>
          <w:kern w:val="0"/>
          <w:u w:val="single"/>
          <w14:ligatures w14:val="none"/>
        </w:rPr>
        <w:t xml:space="preserve"> </w:t>
      </w:r>
    </w:p>
    <w:p w14:paraId="44B06746"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w:t>
      </w:r>
      <w:r w:rsidRPr="000E114B">
        <w:rPr>
          <w:rFonts w:ascii="Arial" w:eastAsia="Calibri" w:hAnsi="Arial" w:cs="Arial"/>
          <w:kern w:val="0"/>
          <w14:ligatures w14:val="none"/>
        </w:rPr>
        <w:lastRenderedPageBreak/>
        <w:t>to meet the local need, are accessible and responsive to the needs of Individuals Served, their families, and community stakeholders, and include the essential elements of a coordinated system of care specified in § 394.4573(2), F.S.</w:t>
      </w:r>
    </w:p>
    <w:p w14:paraId="3E76B4DB"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Operational Costs</w:t>
      </w:r>
      <w:r w:rsidRPr="000E114B">
        <w:rPr>
          <w:rFonts w:ascii="Arial" w:eastAsia="Calibri" w:hAnsi="Arial" w:cs="Arial"/>
          <w:caps/>
          <w:kern w:val="0"/>
          <w:u w:val="single"/>
          <w14:ligatures w14:val="none"/>
        </w:rPr>
        <w:t xml:space="preserve"> </w:t>
      </w:r>
    </w:p>
    <w:p w14:paraId="6B0519E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allowable expenses incurred by a Managing Entity in performing its contracted functions and delivering its contracted services.</w:t>
      </w:r>
    </w:p>
    <w:p w14:paraId="3DBEFB9F"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bCs/>
          <w:caps/>
          <w:kern w:val="0"/>
          <w:u w:val="single"/>
          <w14:ligatures w14:val="none"/>
        </w:rPr>
      </w:pPr>
      <w:r w:rsidRPr="000E114B">
        <w:rPr>
          <w:rFonts w:ascii="Arial" w:eastAsia="Calibri" w:hAnsi="Arial" w:cs="Arial"/>
          <w:b/>
          <w:bCs/>
          <w:caps/>
          <w:kern w:val="0"/>
          <w:u w:val="single"/>
          <w14:ligatures w14:val="none"/>
        </w:rPr>
        <w:t>Opioid Settlement Trust Fund</w:t>
      </w:r>
    </w:p>
    <w:p w14:paraId="62C7DACD"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kern w:val="0"/>
          <w14:ligatures w14:val="none"/>
        </w:rPr>
        <w:t xml:space="preserve">The purpose of the State Opioid Settlement Trust Fund within the Department is to abate the opioid epidemic in accordance with settlement agreements reached in opioid-related litigation and bankruptcy, as specified in General Appropriations Acts, pursuant to § 20.195, F.S. </w:t>
      </w:r>
    </w:p>
    <w:p w14:paraId="2821D4B9"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kern w:val="0"/>
          <w:u w:val="single"/>
          <w14:ligatures w14:val="none"/>
        </w:rPr>
      </w:pPr>
      <w:r w:rsidRPr="000E114B">
        <w:rPr>
          <w:rFonts w:ascii="Arial" w:eastAsia="Calibri" w:hAnsi="Arial" w:cs="Arial"/>
          <w:b/>
          <w:caps/>
          <w:kern w:val="0"/>
          <w:u w:val="single"/>
          <w14:ligatures w14:val="none"/>
        </w:rPr>
        <w:t>Projects for Assistance in Transition from Homelessness</w:t>
      </w:r>
      <w:r w:rsidRPr="000E114B">
        <w:rPr>
          <w:rFonts w:ascii="Arial" w:eastAsia="Calibri" w:hAnsi="Arial" w:cs="Arial"/>
          <w:b/>
          <w:kern w:val="0"/>
          <w:u w:val="single"/>
          <w14:ligatures w14:val="none"/>
        </w:rPr>
        <w:t xml:space="preserve"> (PATH)</w:t>
      </w:r>
      <w:r w:rsidRPr="000E114B">
        <w:rPr>
          <w:rFonts w:ascii="Arial" w:eastAsia="Calibri" w:hAnsi="Arial" w:cs="Arial"/>
          <w:kern w:val="0"/>
          <w:u w:val="single"/>
          <w14:ligatures w14:val="none"/>
        </w:rPr>
        <w:t xml:space="preserve"> </w:t>
      </w:r>
    </w:p>
    <w:p w14:paraId="34EA866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A federal grant established under 42 U.S.C. ss. 290cc-21 – 290cc-35 to support homeless individuals who are homeless or at risk of homelessness with mental illnesses, who may also have co-occurring substance abuse and mental health treatment needs.</w:t>
      </w:r>
    </w:p>
    <w:p w14:paraId="243355BE"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Risk Assessment</w:t>
      </w:r>
      <w:r w:rsidRPr="000E114B">
        <w:rPr>
          <w:rFonts w:ascii="Arial" w:eastAsia="Calibri" w:hAnsi="Arial" w:cs="Arial"/>
          <w:caps/>
          <w:kern w:val="0"/>
          <w:u w:val="single"/>
          <w14:ligatures w14:val="none"/>
        </w:rPr>
        <w:t xml:space="preserve"> </w:t>
      </w:r>
    </w:p>
    <w:p w14:paraId="606D2D91"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577A01D2"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Safety Net</w:t>
      </w:r>
      <w:r w:rsidRPr="000E114B">
        <w:rPr>
          <w:rFonts w:ascii="Arial" w:eastAsia="Calibri" w:hAnsi="Arial" w:cs="Arial"/>
          <w:caps/>
          <w:kern w:val="0"/>
          <w:u w:val="single"/>
          <w14:ligatures w14:val="none"/>
        </w:rPr>
        <w:t xml:space="preserve"> </w:t>
      </w:r>
    </w:p>
    <w:p w14:paraId="7EA4AF93"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0EF095E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Stakeholders</w:t>
      </w:r>
      <w:r w:rsidRPr="000E114B">
        <w:rPr>
          <w:rFonts w:ascii="Arial" w:eastAsia="Calibri" w:hAnsi="Arial" w:cs="Arial"/>
          <w:caps/>
          <w:kern w:val="0"/>
          <w:u w:val="single"/>
          <w14:ligatures w14:val="none"/>
        </w:rPr>
        <w:t xml:space="preserve"> </w:t>
      </w:r>
    </w:p>
    <w:p w14:paraId="3EB2E621" w14:textId="77777777" w:rsidR="000E114B" w:rsidRPr="000E114B" w:rsidRDefault="000E114B" w:rsidP="006A3560">
      <w:pPr>
        <w:spacing w:before="60" w:after="60" w:line="240" w:lineRule="auto"/>
        <w:outlineLvl w:val="0"/>
        <w:rPr>
          <w:rFonts w:ascii="Arial" w:eastAsia="Calibri" w:hAnsi="Arial" w:cs="Arial"/>
          <w:color w:val="0563C1"/>
          <w:kern w:val="0"/>
          <w:u w:val="single"/>
          <w14:ligatures w14:val="none"/>
        </w:rPr>
      </w:pPr>
      <w:r w:rsidRPr="000E114B">
        <w:rPr>
          <w:rFonts w:ascii="Arial" w:eastAsia="Calibri" w:hAnsi="Arial" w:cs="Arial"/>
          <w:kern w:val="0"/>
          <w14:ligatures w14:val="none"/>
        </w:rPr>
        <w:t>Individuals or groups with an interest in the provision of treatment or prevention services to individuals with substance use, mental health, and co-occurring disorders in the county(</w:t>
      </w:r>
      <w:proofErr w:type="spellStart"/>
      <w:r w:rsidRPr="000E114B">
        <w:rPr>
          <w:rFonts w:ascii="Arial" w:eastAsia="Calibri" w:hAnsi="Arial" w:cs="Arial"/>
          <w:kern w:val="0"/>
          <w14:ligatures w14:val="none"/>
        </w:rPr>
        <w:t>ies</w:t>
      </w:r>
      <w:proofErr w:type="spellEnd"/>
      <w:r w:rsidRPr="000E114B">
        <w:rPr>
          <w:rFonts w:ascii="Arial" w:eastAsia="Calibri" w:hAnsi="Arial" w:cs="Arial"/>
          <w:kern w:val="0"/>
          <w14:ligatures w14:val="none"/>
        </w:rPr>
        <w:t xml:space="preserve">) specified in </w:t>
      </w:r>
      <w:r w:rsidRPr="000E114B">
        <w:rPr>
          <w:rFonts w:ascii="Arial" w:eastAsia="Calibri" w:hAnsi="Arial" w:cs="Arial"/>
          <w:b/>
          <w:kern w:val="0"/>
          <w14:ligatures w14:val="none"/>
        </w:rPr>
        <w:t>Section B.3.1.</w:t>
      </w:r>
      <w:r w:rsidRPr="000E114B">
        <w:rPr>
          <w:rFonts w:ascii="Arial" w:eastAsia="Calibri" w:hAnsi="Arial" w:cs="Arial"/>
          <w:kern w:val="0"/>
          <w14:ligatures w14:val="none"/>
        </w:rPr>
        <w:t xml:space="preserve"> This includes, but is not limited to, the key community constituents included in § 394.9082(5), F.S.</w:t>
      </w:r>
    </w:p>
    <w:p w14:paraId="70335075"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 Mental Health Treatment Facilities</w:t>
      </w:r>
      <w:r w:rsidRPr="000E114B">
        <w:rPr>
          <w:rFonts w:ascii="Arial" w:eastAsia="Calibri" w:hAnsi="Arial" w:cs="Arial"/>
          <w:caps/>
          <w:kern w:val="0"/>
          <w:u w:val="single"/>
          <w14:ligatures w14:val="none"/>
        </w:rPr>
        <w:t xml:space="preserve"> </w:t>
      </w:r>
    </w:p>
    <w:p w14:paraId="7BA29BDA" w14:textId="77777777" w:rsidR="000E114B" w:rsidRPr="000E114B" w:rsidRDefault="000E114B" w:rsidP="006A3560">
      <w:pPr>
        <w:spacing w:before="60" w:after="60" w:line="240" w:lineRule="auto"/>
        <w:contextualSpacing/>
        <w:outlineLvl w:val="0"/>
        <w:rPr>
          <w:rFonts w:ascii="Arial" w:eastAsia="Calibri" w:hAnsi="Arial" w:cs="Arial"/>
          <w:b/>
          <w:kern w:val="0"/>
          <w14:ligatures w14:val="none"/>
        </w:rPr>
      </w:pPr>
      <w:r w:rsidRPr="000E114B">
        <w:rPr>
          <w:rFonts w:ascii="Arial" w:eastAsia="Calibri" w:hAnsi="Arial" w:cs="Arial"/>
          <w:kern w:val="0"/>
          <w14:ligatures w14:val="none"/>
        </w:rPr>
        <w:t>State Mental Health Treatment Facilities serve adults who have been voluntarily admitted or court ordered for intensive inpatient treatment by a circuit court and pursuant to Chapter 394, F.S. or Chapter 916, F.S.</w:t>
      </w:r>
    </w:p>
    <w:p w14:paraId="2841E412" w14:textId="77777777" w:rsidR="000E114B" w:rsidRPr="000E114B" w:rsidRDefault="000E114B" w:rsidP="006A3560">
      <w:pPr>
        <w:keepNext/>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Statewide Inpatient Psychiatric Programs (SIPP)</w:t>
      </w:r>
      <w:r w:rsidRPr="000E114B">
        <w:rPr>
          <w:rFonts w:ascii="Arial" w:eastAsia="Calibri" w:hAnsi="Arial" w:cs="Arial"/>
          <w:caps/>
          <w:kern w:val="0"/>
          <w:u w:val="single"/>
          <w14:ligatures w14:val="none"/>
        </w:rPr>
        <w:t xml:space="preserve"> </w:t>
      </w:r>
    </w:p>
    <w:p w14:paraId="02D75358" w14:textId="77777777" w:rsidR="000E114B" w:rsidRPr="000E114B" w:rsidRDefault="000E114B" w:rsidP="006A3560">
      <w:pPr>
        <w:spacing w:before="60" w:after="60" w:line="240" w:lineRule="auto"/>
        <w:outlineLvl w:val="0"/>
        <w:rPr>
          <w:rFonts w:ascii="Arial" w:eastAsia="Calibri" w:hAnsi="Arial" w:cs="Arial"/>
          <w:kern w:val="0"/>
          <w14:ligatures w14:val="none"/>
        </w:rPr>
      </w:pPr>
      <w:r w:rsidRPr="000E114B">
        <w:rPr>
          <w:rFonts w:ascii="Arial" w:eastAsia="Calibri" w:hAnsi="Arial" w:cs="Arial"/>
          <w:kern w:val="0"/>
          <w14:ligatures w14:val="none"/>
        </w:rPr>
        <w:t>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Chapter 394, F.S., Chapter 408, F.S., Chapter 409, F.S., and Rule 65E-9.008(4), F.A.C.</w:t>
      </w:r>
    </w:p>
    <w:p w14:paraId="19A5116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Submit</w:t>
      </w:r>
      <w:r w:rsidRPr="000E114B">
        <w:rPr>
          <w:rFonts w:ascii="Arial" w:eastAsia="Calibri" w:hAnsi="Arial" w:cs="Arial"/>
          <w:caps/>
          <w:kern w:val="0"/>
          <w:u w:val="single"/>
          <w14:ligatures w14:val="none"/>
        </w:rPr>
        <w:t xml:space="preserve"> </w:t>
      </w:r>
    </w:p>
    <w:p w14:paraId="6C99DD0F"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Unless otherwise specified, the term “Submit” as used in this Contract shall be construed to mean submission of a contractual requirement to the Department’s Contract Manager, subject to the provisions of </w:t>
      </w:r>
      <w:r w:rsidRPr="000E114B">
        <w:rPr>
          <w:rFonts w:ascii="Arial" w:eastAsia="Calibri" w:hAnsi="Arial" w:cs="Arial"/>
          <w:b/>
          <w:kern w:val="0"/>
          <w14:ligatures w14:val="none"/>
        </w:rPr>
        <w:t>Section C.2.4.7.</w:t>
      </w:r>
    </w:p>
    <w:p w14:paraId="65C27937"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and Mental Health Data System (SAMH Data System)</w:t>
      </w:r>
      <w:r w:rsidRPr="000E114B">
        <w:rPr>
          <w:rFonts w:ascii="Arial" w:eastAsia="Calibri" w:hAnsi="Arial" w:cs="Arial"/>
          <w:caps/>
          <w:kern w:val="0"/>
          <w:u w:val="single"/>
          <w14:ligatures w14:val="none"/>
        </w:rPr>
        <w:t xml:space="preserve"> </w:t>
      </w:r>
    </w:p>
    <w:p w14:paraId="70B11B0E" w14:textId="77777777" w:rsidR="000E114B" w:rsidRPr="000E114B" w:rsidRDefault="000E114B" w:rsidP="006A3560">
      <w:pPr>
        <w:spacing w:before="60" w:after="60" w:line="240" w:lineRule="auto"/>
        <w:contextualSpacing/>
        <w:outlineLvl w:val="0"/>
        <w:rPr>
          <w:rFonts w:ascii="Arial" w:eastAsia="Calibri" w:hAnsi="Arial" w:cs="Arial"/>
          <w:kern w:val="0"/>
          <w14:ligatures w14:val="none"/>
        </w:rPr>
      </w:pPr>
      <w:r w:rsidRPr="000E114B">
        <w:rPr>
          <w:rFonts w:ascii="Arial" w:eastAsia="Calibri" w:hAnsi="Arial" w:cs="Arial"/>
          <w:kern w:val="0"/>
          <w14:ligatures w14:val="none"/>
        </w:rPr>
        <w:lastRenderedPageBreak/>
        <w:t>Collectively, the Department’s web-based data systems for reporting substance abuse and mental health services, including the Substance Abuse and Mental Health Information System (SAMHIS), the Performance Based Prevention System (PBPS), the Financial and Service Accountability Management System (FASAMS) or any replacement systems identified by the Department for the reporting of data by the Managing Entity and all Network Service Providers in accordance with this contract.</w:t>
      </w:r>
    </w:p>
    <w:p w14:paraId="5567CD63"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Substance Abuse Services</w:t>
      </w:r>
      <w:r w:rsidRPr="000E114B">
        <w:rPr>
          <w:rFonts w:ascii="Arial" w:eastAsia="Calibri" w:hAnsi="Arial" w:cs="Arial"/>
          <w:caps/>
          <w:kern w:val="0"/>
          <w:u w:val="single"/>
          <w14:ligatures w14:val="none"/>
        </w:rPr>
        <w:t xml:space="preserve"> </w:t>
      </w:r>
    </w:p>
    <w:p w14:paraId="0A3F3EFC"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Any of the substance abuse prevention, intervention and clinical treatment services defined in § 397.311(26), F.S.</w:t>
      </w:r>
    </w:p>
    <w:p w14:paraId="3760123A"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Supplemental Security Income (SSI) and Social Security Disability Insurance (SSDI) Outreach, Access, and Recovery (SOAR)</w:t>
      </w:r>
      <w:r w:rsidRPr="000E114B">
        <w:rPr>
          <w:rFonts w:ascii="Arial" w:eastAsia="Calibri" w:hAnsi="Arial" w:cs="Arial"/>
          <w:caps/>
          <w:kern w:val="0"/>
          <w:u w:val="single"/>
          <w14:ligatures w14:val="none"/>
        </w:rPr>
        <w:t xml:space="preserve"> </w:t>
      </w:r>
    </w:p>
    <w:p w14:paraId="7BA81C40"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B50B3A4"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Temporary Assistance to Needy Families (TANF)</w:t>
      </w:r>
      <w:r w:rsidRPr="000E114B">
        <w:rPr>
          <w:rFonts w:ascii="Arial" w:eastAsia="Calibri" w:hAnsi="Arial" w:cs="Arial"/>
          <w:caps/>
          <w:kern w:val="0"/>
          <w:u w:val="single"/>
          <w14:ligatures w14:val="none"/>
        </w:rPr>
        <w:t xml:space="preserve"> </w:t>
      </w:r>
    </w:p>
    <w:p w14:paraId="62088619"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 xml:space="preserve">As defined by 42 U.S.C. ss. 601, et seq., and Chapter 414, F.S. </w:t>
      </w:r>
    </w:p>
    <w:p w14:paraId="7C0D6018" w14:textId="77777777" w:rsidR="000E114B" w:rsidRPr="000E114B" w:rsidRDefault="000E114B" w:rsidP="006A3560">
      <w:pPr>
        <w:numPr>
          <w:ilvl w:val="0"/>
          <w:numId w:val="3"/>
        </w:numPr>
        <w:spacing w:before="60" w:after="60" w:line="240" w:lineRule="auto"/>
        <w:ind w:left="0" w:firstLine="0"/>
        <w:outlineLvl w:val="0"/>
        <w:rPr>
          <w:rFonts w:ascii="Arial" w:eastAsia="Calibri" w:hAnsi="Arial" w:cs="Arial"/>
          <w:b/>
          <w:caps/>
          <w:kern w:val="0"/>
          <w:u w:val="single"/>
          <w14:ligatures w14:val="none"/>
        </w:rPr>
      </w:pPr>
      <w:r w:rsidRPr="000E114B">
        <w:rPr>
          <w:rFonts w:ascii="Arial" w:eastAsia="Calibri" w:hAnsi="Arial" w:cs="Arial"/>
          <w:b/>
          <w:caps/>
          <w:kern w:val="0"/>
          <w:u w:val="single"/>
          <w14:ligatures w14:val="none"/>
        </w:rPr>
        <w:t>Wait List</w:t>
      </w:r>
      <w:r w:rsidRPr="000E114B">
        <w:rPr>
          <w:rFonts w:ascii="Arial" w:eastAsia="Calibri" w:hAnsi="Arial" w:cs="Arial"/>
          <w:caps/>
          <w:kern w:val="0"/>
          <w:u w:val="single"/>
          <w14:ligatures w14:val="none"/>
        </w:rPr>
        <w:t xml:space="preserve"> </w:t>
      </w:r>
    </w:p>
    <w:p w14:paraId="282C71F4" w14:textId="77777777" w:rsidR="000E114B" w:rsidRPr="000E114B" w:rsidRDefault="000E114B" w:rsidP="006A3560">
      <w:pPr>
        <w:spacing w:before="60" w:after="60" w:line="240" w:lineRule="auto"/>
        <w:outlineLvl w:val="0"/>
        <w:rPr>
          <w:rFonts w:ascii="Arial" w:eastAsia="Calibri" w:hAnsi="Arial" w:cs="Arial"/>
          <w:b/>
          <w:kern w:val="0"/>
          <w14:ligatures w14:val="none"/>
        </w:rPr>
      </w:pPr>
      <w:r w:rsidRPr="000E114B">
        <w:rPr>
          <w:rFonts w:ascii="Arial" w:eastAsia="Calibri" w:hAnsi="Arial" w:cs="Arial"/>
          <w:kern w:val="0"/>
          <w14:ligatures w14:val="none"/>
        </w:rPr>
        <w:t>A master list for the Network, maintained by a Managing Entity that shows:</w:t>
      </w:r>
    </w:p>
    <w:p w14:paraId="4C1C7395"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number of individuals waiting for access to the recommended service or </w:t>
      </w:r>
      <w:proofErr w:type="gramStart"/>
      <w:r w:rsidRPr="000E114B">
        <w:rPr>
          <w:rFonts w:ascii="Arial" w:eastAsia="Calibri" w:hAnsi="Arial" w:cs="Arial"/>
          <w:kern w:val="0"/>
          <w14:ligatures w14:val="none"/>
        </w:rPr>
        <w:t>program;</w:t>
      </w:r>
      <w:proofErr w:type="gramEnd"/>
      <w:r w:rsidRPr="000E114B">
        <w:rPr>
          <w:rFonts w:ascii="Arial" w:eastAsia="Calibri" w:hAnsi="Arial" w:cs="Arial"/>
          <w:kern w:val="0"/>
          <w14:ligatures w14:val="none"/>
        </w:rPr>
        <w:t xml:space="preserve"> </w:t>
      </w:r>
    </w:p>
    <w:p w14:paraId="7A8B0214"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 xml:space="preserve">The length of time </w:t>
      </w:r>
      <w:proofErr w:type="gramStart"/>
      <w:r w:rsidRPr="000E114B">
        <w:rPr>
          <w:rFonts w:ascii="Arial" w:eastAsia="Calibri" w:hAnsi="Arial" w:cs="Arial"/>
          <w:kern w:val="0"/>
          <w14:ligatures w14:val="none"/>
        </w:rPr>
        <w:t>each individual</w:t>
      </w:r>
      <w:proofErr w:type="gramEnd"/>
      <w:r w:rsidRPr="000E114B">
        <w:rPr>
          <w:rFonts w:ascii="Arial" w:eastAsia="Calibri" w:hAnsi="Arial" w:cs="Arial"/>
          <w:kern w:val="0"/>
          <w14:ligatures w14:val="none"/>
        </w:rPr>
        <w:t xml:space="preserve"> has been on the waiting list; and</w:t>
      </w:r>
    </w:p>
    <w:p w14:paraId="41DBA922" w14:textId="77777777" w:rsidR="000E114B" w:rsidRPr="000E114B" w:rsidRDefault="000E114B" w:rsidP="006A3560">
      <w:pPr>
        <w:numPr>
          <w:ilvl w:val="1"/>
          <w:numId w:val="3"/>
        </w:numPr>
        <w:tabs>
          <w:tab w:val="left" w:pos="900"/>
        </w:tabs>
        <w:spacing w:before="60" w:after="60" w:line="240" w:lineRule="auto"/>
        <w:ind w:left="0" w:firstLine="0"/>
        <w:outlineLvl w:val="0"/>
        <w:rPr>
          <w:rFonts w:ascii="Arial" w:eastAsia="Calibri" w:hAnsi="Arial" w:cs="Arial"/>
          <w:kern w:val="0"/>
          <w14:ligatures w14:val="none"/>
        </w:rPr>
      </w:pPr>
      <w:r w:rsidRPr="000E114B">
        <w:rPr>
          <w:rFonts w:ascii="Arial" w:eastAsia="Calibri" w:hAnsi="Arial" w:cs="Arial"/>
          <w:kern w:val="0"/>
          <w14:ligatures w14:val="none"/>
        </w:rPr>
        <w:t>The interim services provided to the individual.</w:t>
      </w:r>
    </w:p>
    <w:p w14:paraId="22F45E89" w14:textId="77777777" w:rsidR="000E114B" w:rsidRPr="000E114B" w:rsidRDefault="000E114B" w:rsidP="006A3560">
      <w:pPr>
        <w:spacing w:before="60" w:after="60" w:line="240" w:lineRule="auto"/>
        <w:outlineLvl w:val="0"/>
        <w:rPr>
          <w:rFonts w:ascii="Arial" w:eastAsia="Calibri" w:hAnsi="Arial" w:cs="Arial"/>
          <w:b/>
          <w:kern w:val="0"/>
          <w14:ligatures w14:val="none"/>
        </w:rPr>
      </w:pPr>
    </w:p>
    <w:p w14:paraId="13DB77CD"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658FB8A1" w14:textId="77777777" w:rsidR="000E114B" w:rsidRPr="000E114B" w:rsidRDefault="000E114B" w:rsidP="006A3560">
      <w:pPr>
        <w:tabs>
          <w:tab w:val="left" w:pos="1260"/>
        </w:tabs>
        <w:spacing w:before="60" w:after="60" w:line="240" w:lineRule="auto"/>
        <w:outlineLvl w:val="0"/>
        <w:rPr>
          <w:rFonts w:ascii="Arial" w:eastAsia="Calibri" w:hAnsi="Arial" w:cs="Arial"/>
          <w:b/>
          <w:kern w:val="0"/>
          <w14:ligatures w14:val="none"/>
        </w:rPr>
      </w:pPr>
    </w:p>
    <w:p w14:paraId="55AAEB6D"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916A6DE" w14:textId="77777777" w:rsidR="000E114B" w:rsidRPr="000E114B" w:rsidRDefault="000E114B" w:rsidP="006A3560">
      <w:pPr>
        <w:spacing w:before="60" w:after="60" w:line="240" w:lineRule="auto"/>
        <w:outlineLvl w:val="0"/>
        <w:rPr>
          <w:rFonts w:ascii="Arial" w:eastAsia="Times New Roman" w:hAnsi="Arial" w:cs="Times New Roman"/>
          <w:kern w:val="0"/>
          <w:szCs w:val="20"/>
          <w14:ligatures w14:val="none"/>
        </w:rPr>
      </w:pPr>
    </w:p>
    <w:p w14:paraId="150C4634" w14:textId="77777777" w:rsidR="000E114B" w:rsidRPr="000E114B" w:rsidRDefault="000E114B" w:rsidP="006A3560">
      <w:pPr>
        <w:tabs>
          <w:tab w:val="left" w:pos="1260"/>
        </w:tabs>
        <w:spacing w:before="60" w:after="60" w:line="240" w:lineRule="auto"/>
        <w:outlineLvl w:val="0"/>
        <w:rPr>
          <w:rFonts w:ascii="Arial" w:eastAsia="Calibri" w:hAnsi="Arial" w:cs="Arial"/>
          <w:b/>
          <w:iCs/>
          <w:kern w:val="0"/>
          <w14:ligatures w14:val="none"/>
        </w:rPr>
      </w:pPr>
      <w:r w:rsidRPr="000E114B">
        <w:rPr>
          <w:rFonts w:ascii="Arial" w:eastAsia="Calibri" w:hAnsi="Arial" w:cs="Arial"/>
          <w:b/>
          <w:iCs/>
          <w:kern w:val="0"/>
          <w14:ligatures w14:val="none"/>
        </w:rPr>
        <w:t>REMAINDER OF PAGE INTENTIONALLY LEFT BLANK</w:t>
      </w:r>
    </w:p>
    <w:p w14:paraId="12EDEB2C" w14:textId="77777777" w:rsidR="000E114B" w:rsidRPr="000E114B" w:rsidRDefault="000E114B" w:rsidP="006A3560">
      <w:pPr>
        <w:spacing w:before="60" w:after="60" w:line="240" w:lineRule="auto"/>
        <w:outlineLvl w:val="0"/>
        <w:rPr>
          <w:rFonts w:ascii="Arial" w:eastAsia="Calibri" w:hAnsi="Arial" w:cs="Arial"/>
          <w:b/>
          <w:iCs/>
          <w:kern w:val="0"/>
          <w14:ligatures w14:val="none"/>
        </w:rPr>
      </w:pPr>
      <w:r w:rsidRPr="000E114B">
        <w:rPr>
          <w:rFonts w:ascii="Arial" w:eastAsia="Times New Roman" w:hAnsi="Arial" w:cs="Arial"/>
          <w:iCs/>
          <w:kern w:val="0"/>
          <w:szCs w:val="20"/>
          <w14:ligatures w14:val="none"/>
        </w:rPr>
        <w:br w:type="page"/>
      </w:r>
    </w:p>
    <w:p w14:paraId="4C63A5E4"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lastRenderedPageBreak/>
        <w:t>EXHIBIT A2 – SAMH PROGRAMMATIC STATE AND FEDERAL LAWS, RULES, AND REGULATIONS</w:t>
      </w:r>
    </w:p>
    <w:p w14:paraId="25DFEA6E" w14:textId="77777777" w:rsidR="000E114B" w:rsidRPr="000E114B" w:rsidRDefault="000E114B" w:rsidP="006A3560">
      <w:pPr>
        <w:tabs>
          <w:tab w:val="left" w:pos="2268"/>
        </w:tabs>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provider and its subcontractors shall comply with all applicable state and federal laws, rules and regulations, as amended from time to time, that affect the subject areas of the contract. Authorities include but are not limited to the following:</w:t>
      </w:r>
    </w:p>
    <w:p w14:paraId="1A314632"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FEDERAL AUTHORITY </w:t>
      </w:r>
    </w:p>
    <w:p w14:paraId="6F5EA38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Regarding Mental Health and Substance Abuse</w:t>
      </w:r>
    </w:p>
    <w:p w14:paraId="1CB4A187" w14:textId="77777777" w:rsidR="000E114B" w:rsidRPr="000E114B" w:rsidRDefault="000E114B" w:rsidP="006A3560">
      <w:pPr>
        <w:numPr>
          <w:ilvl w:val="2"/>
          <w:numId w:val="2"/>
        </w:numPr>
        <w:tabs>
          <w:tab w:val="left" w:pos="990"/>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Community Mental Health Services</w:t>
      </w:r>
    </w:p>
    <w:p w14:paraId="58A57B1A" w14:textId="77777777" w:rsidR="000E114B" w:rsidRPr="000E114B" w:rsidRDefault="000E114B" w:rsidP="006A3560">
      <w:pPr>
        <w:spacing w:before="60" w:after="60" w:line="240" w:lineRule="auto"/>
        <w:outlineLvl w:val="0"/>
        <w:rPr>
          <w:rFonts w:ascii="Arial" w:eastAsia="Times New Roman" w:hAnsi="Arial" w:cs="Arial"/>
          <w:bCs/>
          <w:i/>
          <w:kern w:val="0"/>
          <w14:ligatures w14:val="none"/>
        </w:rPr>
      </w:pPr>
      <w:r w:rsidRPr="000E114B">
        <w:rPr>
          <w:rFonts w:ascii="Arial" w:eastAsia="Times New Roman" w:hAnsi="Arial" w:cs="Arial"/>
          <w:bCs/>
          <w:kern w:val="0"/>
          <w14:ligatures w14:val="none"/>
        </w:rPr>
        <w:t>42 U.S.C. ss. 300x, et seq.</w:t>
      </w:r>
      <w:r w:rsidRPr="000E114B">
        <w:rPr>
          <w:rFonts w:ascii="Arial" w:eastAsia="Times New Roman" w:hAnsi="Arial" w:cs="Arial"/>
          <w:bCs/>
          <w:i/>
          <w:kern w:val="0"/>
          <w14:ligatures w14:val="none"/>
        </w:rPr>
        <w:t xml:space="preserve"> </w:t>
      </w:r>
    </w:p>
    <w:p w14:paraId="5F708416" w14:textId="77777777" w:rsidR="000E114B" w:rsidRPr="000E114B" w:rsidRDefault="000E114B" w:rsidP="006A3560">
      <w:pPr>
        <w:numPr>
          <w:ilvl w:val="2"/>
          <w:numId w:val="2"/>
        </w:numPr>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Block Grants for Prevention and Treatment of Substance Abuse</w:t>
      </w:r>
    </w:p>
    <w:p w14:paraId="7A88328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300x-21 et seq.</w:t>
      </w:r>
    </w:p>
    <w:p w14:paraId="5608675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Subpart L </w:t>
      </w:r>
    </w:p>
    <w:p w14:paraId="1B729609"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Health and Human Services, General Administration, Block Grants</w:t>
      </w:r>
    </w:p>
    <w:p w14:paraId="15F287A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45 CFR Part. 96 </w:t>
      </w:r>
    </w:p>
    <w:p w14:paraId="144BB85D"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Charitable Choice Regulations Applicable to Substance Abuse Block Grant and PATH Grant</w:t>
      </w:r>
    </w:p>
    <w:p w14:paraId="37EC8A5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42 CFR Part 54 </w:t>
      </w:r>
    </w:p>
    <w:p w14:paraId="08835105"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Confidentiality Of Substance Use Disorder Patient Records</w:t>
      </w:r>
    </w:p>
    <w:p w14:paraId="30C7EF8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CFR Part 2</w:t>
      </w:r>
      <w:r w:rsidRPr="000E114B">
        <w:rPr>
          <w:rFonts w:ascii="Arial" w:eastAsia="Times New Roman" w:hAnsi="Arial" w:cs="Arial"/>
          <w:bCs/>
          <w:kern w:val="0"/>
          <w14:ligatures w14:val="none"/>
        </w:rPr>
        <w:tab/>
      </w:r>
    </w:p>
    <w:p w14:paraId="013BF4AB"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Security and Privacy </w:t>
      </w:r>
    </w:p>
    <w:p w14:paraId="7425FE9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164</w:t>
      </w:r>
    </w:p>
    <w:p w14:paraId="70A3CE3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Supplemental Security Income for the Aged, Blind and Disabled</w:t>
      </w:r>
    </w:p>
    <w:p w14:paraId="572B6C7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20 CFR Part 416 </w:t>
      </w:r>
    </w:p>
    <w:p w14:paraId="37EC487A"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Temporary Assistance to Needy Families (TANF)</w:t>
      </w:r>
    </w:p>
    <w:p w14:paraId="7EA53BD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601 - 619</w:t>
      </w:r>
    </w:p>
    <w:p w14:paraId="23F5D14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260</w:t>
      </w:r>
    </w:p>
    <w:p w14:paraId="286A0B0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Projects for Assistance in Transition from Homelessness (PATH)</w:t>
      </w:r>
    </w:p>
    <w:p w14:paraId="0735BF8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290cc-21 – 290cc-35</w:t>
      </w:r>
    </w:p>
    <w:p w14:paraId="34021396"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bCs/>
          <w:kern w:val="0"/>
          <w14:ligatures w14:val="none"/>
        </w:rPr>
        <w:t>Equal Opportunity for Individuals with Disabilities (</w:t>
      </w:r>
      <w:r w:rsidRPr="000E114B">
        <w:rPr>
          <w:rFonts w:ascii="Arial" w:eastAsia="Times New Roman" w:hAnsi="Arial" w:cs="Arial"/>
          <w:b/>
          <w:kern w:val="0"/>
          <w14:ligatures w14:val="none"/>
        </w:rPr>
        <w:t>Americans with Disabilities Act of 1990)</w:t>
      </w:r>
    </w:p>
    <w:p w14:paraId="4EB61E0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42 U.S.C. ss. 12101 - 12213</w:t>
      </w:r>
    </w:p>
    <w:p w14:paraId="3BAB101E"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Prevention of Trafficking (Trafficking Victims Protection Act of 2000)</w:t>
      </w:r>
    </w:p>
    <w:p w14:paraId="2C96285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22 U.S.C. s. 7104</w:t>
      </w:r>
    </w:p>
    <w:p w14:paraId="17974CF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2 CFR Part 175 </w:t>
      </w:r>
    </w:p>
    <w:p w14:paraId="227100D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Governmentwide Requirements for Drug-Free Workplace (Financial Assistance)</w:t>
      </w:r>
    </w:p>
    <w:p w14:paraId="64391E4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182</w:t>
      </w:r>
    </w:p>
    <w:p w14:paraId="7E4B6726"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2 CFR Part 382</w:t>
      </w:r>
    </w:p>
    <w:p w14:paraId="2DC12972" w14:textId="77777777" w:rsidR="000E114B" w:rsidRPr="000E114B" w:rsidRDefault="000E114B" w:rsidP="006A3560">
      <w:pPr>
        <w:spacing w:before="60" w:after="60" w:line="240" w:lineRule="auto"/>
        <w:outlineLvl w:val="0"/>
        <w:rPr>
          <w:rFonts w:ascii="Arial" w:eastAsia="Times New Roman" w:hAnsi="Arial" w:cs="Arial"/>
          <w:b/>
          <w:bCs/>
          <w:kern w:val="0"/>
          <w14:ligatures w14:val="none"/>
        </w:rPr>
      </w:pPr>
      <w:r w:rsidRPr="000E114B">
        <w:rPr>
          <w:rFonts w:ascii="Arial" w:eastAsia="Times New Roman" w:hAnsi="Arial" w:cs="Arial"/>
          <w:b/>
          <w:bCs/>
          <w:kern w:val="0"/>
          <w14:ligatures w14:val="none"/>
        </w:rPr>
        <w:t>A2.1.12 The 988 Suicide and Crisis Lifeline</w:t>
      </w:r>
    </w:p>
    <w:p w14:paraId="665FD20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The Communications Act of 1934</w:t>
      </w:r>
    </w:p>
    <w:p w14:paraId="0508572B"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47 U.S.C. 609 </w:t>
      </w:r>
    </w:p>
    <w:p w14:paraId="2C04C83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47 U.S.C. 251</w:t>
      </w:r>
    </w:p>
    <w:p w14:paraId="4E80C2C9"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lastRenderedPageBreak/>
        <w:t>FLORIDA STATUTES</w:t>
      </w:r>
    </w:p>
    <w:p w14:paraId="3CBD81B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 xml:space="preserve">Child Welfare and Community Based Care </w:t>
      </w:r>
    </w:p>
    <w:p w14:paraId="4D2559F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 F.S. </w:t>
      </w:r>
      <w:r w:rsidRPr="000E114B">
        <w:rPr>
          <w:rFonts w:ascii="Arial" w:eastAsia="Times New Roman" w:hAnsi="Arial" w:cs="Arial"/>
          <w:bCs/>
          <w:kern w:val="0"/>
          <w14:ligatures w14:val="none"/>
        </w:rPr>
        <w:tab/>
        <w:t>Proceedings Relating to Children</w:t>
      </w:r>
    </w:p>
    <w:p w14:paraId="2CFA0DF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402, F.S. </w:t>
      </w:r>
      <w:r w:rsidRPr="000E114B">
        <w:rPr>
          <w:rFonts w:ascii="Arial" w:eastAsia="Times New Roman" w:hAnsi="Arial" w:cs="Arial"/>
          <w:bCs/>
          <w:kern w:val="0"/>
          <w14:ligatures w14:val="none"/>
        </w:rPr>
        <w:tab/>
        <w:t>Health and Human Services: Miscellaneous Provisions</w:t>
      </w:r>
    </w:p>
    <w:p w14:paraId="0FF6620C"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Substance Abuse and Mental Health Services</w:t>
      </w:r>
    </w:p>
    <w:p w14:paraId="7A1C2B5D"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381, F.S. </w:t>
      </w:r>
      <w:r w:rsidRPr="000E114B" w:rsidDel="00346363">
        <w:rPr>
          <w:rFonts w:ascii="Arial" w:eastAsia="Times New Roman" w:hAnsi="Arial" w:cs="Arial"/>
          <w:bCs/>
          <w:kern w:val="0"/>
          <w14:ligatures w14:val="none"/>
        </w:rPr>
        <w:tab/>
        <w:t>Public Health: General Provisions</w:t>
      </w:r>
    </w:p>
    <w:p w14:paraId="25B89A2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386, F.S. </w:t>
      </w:r>
      <w:r w:rsidRPr="000E114B" w:rsidDel="00346363">
        <w:rPr>
          <w:rFonts w:ascii="Arial" w:eastAsia="Times New Roman" w:hAnsi="Arial" w:cs="Arial"/>
          <w:bCs/>
          <w:kern w:val="0"/>
          <w14:ligatures w14:val="none"/>
        </w:rPr>
        <w:tab/>
      </w:r>
      <w:proofErr w:type="gramStart"/>
      <w:r w:rsidRPr="000E114B" w:rsidDel="00346363">
        <w:rPr>
          <w:rFonts w:ascii="Arial" w:eastAsia="Times New Roman" w:hAnsi="Arial" w:cs="Arial"/>
          <w:bCs/>
          <w:kern w:val="0"/>
          <w14:ligatures w14:val="none"/>
        </w:rPr>
        <w:t>Particular Conditions</w:t>
      </w:r>
      <w:proofErr w:type="gramEnd"/>
      <w:r w:rsidRPr="000E114B" w:rsidDel="00346363">
        <w:rPr>
          <w:rFonts w:ascii="Arial" w:eastAsia="Times New Roman" w:hAnsi="Arial" w:cs="Arial"/>
          <w:bCs/>
          <w:kern w:val="0"/>
          <w14:ligatures w14:val="none"/>
        </w:rPr>
        <w:t xml:space="preserve"> Affecting Public Health</w:t>
      </w:r>
    </w:p>
    <w:p w14:paraId="35FE9E5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394, F.S. </w:t>
      </w:r>
      <w:r w:rsidRPr="000E114B" w:rsidDel="00346363">
        <w:rPr>
          <w:rFonts w:ascii="Arial" w:eastAsia="Times New Roman" w:hAnsi="Arial" w:cs="Arial"/>
          <w:bCs/>
          <w:kern w:val="0"/>
          <w14:ligatures w14:val="none"/>
        </w:rPr>
        <w:tab/>
        <w:t>Mental Health</w:t>
      </w:r>
    </w:p>
    <w:p w14:paraId="040C3C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395, F.S. </w:t>
      </w:r>
      <w:r w:rsidRPr="000E114B" w:rsidDel="00346363">
        <w:rPr>
          <w:rFonts w:ascii="Arial" w:eastAsia="Times New Roman" w:hAnsi="Arial" w:cs="Arial"/>
          <w:bCs/>
          <w:kern w:val="0"/>
          <w14:ligatures w14:val="none"/>
        </w:rPr>
        <w:tab/>
        <w:t>Hospital Licensing and Regulation</w:t>
      </w:r>
    </w:p>
    <w:p w14:paraId="646F5CC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397, F.S. </w:t>
      </w:r>
      <w:r w:rsidRPr="000E114B" w:rsidDel="00346363">
        <w:rPr>
          <w:rFonts w:ascii="Arial" w:eastAsia="Times New Roman" w:hAnsi="Arial" w:cs="Arial"/>
          <w:bCs/>
          <w:kern w:val="0"/>
          <w14:ligatures w14:val="none"/>
        </w:rPr>
        <w:tab/>
        <w:t>Substance Abuse Services</w:t>
      </w:r>
    </w:p>
    <w:p w14:paraId="1F4630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400, F.S. </w:t>
      </w:r>
      <w:r w:rsidRPr="000E114B" w:rsidDel="00346363">
        <w:rPr>
          <w:rFonts w:ascii="Arial" w:eastAsia="Times New Roman" w:hAnsi="Arial" w:cs="Arial"/>
          <w:bCs/>
          <w:kern w:val="0"/>
          <w14:ligatures w14:val="none"/>
        </w:rPr>
        <w:tab/>
        <w:t>Nursing Home and Related Health Care Facilities</w:t>
      </w:r>
    </w:p>
    <w:p w14:paraId="62B5124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414, F.S.</w:t>
      </w:r>
      <w:r w:rsidRPr="000E114B" w:rsidDel="00346363">
        <w:rPr>
          <w:rFonts w:ascii="Arial" w:eastAsia="Times New Roman" w:hAnsi="Arial" w:cs="Arial"/>
          <w:bCs/>
          <w:kern w:val="0"/>
          <w14:ligatures w14:val="none"/>
        </w:rPr>
        <w:tab/>
        <w:t xml:space="preserve">Family Self-Sufficiency </w:t>
      </w:r>
    </w:p>
    <w:p w14:paraId="578B65F7"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458, F.S. </w:t>
      </w:r>
      <w:r w:rsidRPr="000E114B" w:rsidDel="00346363">
        <w:rPr>
          <w:rFonts w:ascii="Arial" w:eastAsia="Times New Roman" w:hAnsi="Arial" w:cs="Arial"/>
          <w:bCs/>
          <w:kern w:val="0"/>
          <w14:ligatures w14:val="none"/>
        </w:rPr>
        <w:tab/>
        <w:t>Medical Practice</w:t>
      </w:r>
    </w:p>
    <w:p w14:paraId="19D3A0B4"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464, F.S. </w:t>
      </w:r>
      <w:r w:rsidRPr="000E114B" w:rsidDel="00346363">
        <w:rPr>
          <w:rFonts w:ascii="Arial" w:eastAsia="Times New Roman" w:hAnsi="Arial" w:cs="Arial"/>
          <w:bCs/>
          <w:kern w:val="0"/>
          <w14:ligatures w14:val="none"/>
        </w:rPr>
        <w:tab/>
        <w:t>Nursing</w:t>
      </w:r>
    </w:p>
    <w:p w14:paraId="66C8E969"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465, F.S. </w:t>
      </w:r>
      <w:r w:rsidRPr="000E114B" w:rsidDel="00346363">
        <w:rPr>
          <w:rFonts w:ascii="Arial" w:eastAsia="Times New Roman" w:hAnsi="Arial" w:cs="Arial"/>
          <w:bCs/>
          <w:kern w:val="0"/>
          <w14:ligatures w14:val="none"/>
        </w:rPr>
        <w:tab/>
        <w:t>Pharmacy</w:t>
      </w:r>
    </w:p>
    <w:p w14:paraId="44AF610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490, F.S. </w:t>
      </w:r>
      <w:r w:rsidRPr="000E114B">
        <w:rPr>
          <w:rFonts w:ascii="Arial" w:eastAsia="Times New Roman" w:hAnsi="Arial" w:cs="Arial"/>
          <w:bCs/>
          <w:kern w:val="0"/>
          <w14:ligatures w14:val="none"/>
        </w:rPr>
        <w:tab/>
        <w:t>Psychological Services</w:t>
      </w:r>
    </w:p>
    <w:p w14:paraId="172AE58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491, F.S. </w:t>
      </w:r>
      <w:r w:rsidRPr="000E114B">
        <w:rPr>
          <w:rFonts w:ascii="Arial" w:eastAsia="Times New Roman" w:hAnsi="Arial" w:cs="Arial"/>
          <w:bCs/>
          <w:kern w:val="0"/>
          <w14:ligatures w14:val="none"/>
        </w:rPr>
        <w:tab/>
        <w:t>Clinical, Counseling, and Psychotherapy Services</w:t>
      </w:r>
    </w:p>
    <w:p w14:paraId="63B40930"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499, F.S. </w:t>
      </w:r>
      <w:r w:rsidRPr="000E114B" w:rsidDel="00346363">
        <w:rPr>
          <w:rFonts w:ascii="Arial" w:eastAsia="Times New Roman" w:hAnsi="Arial" w:cs="Arial"/>
          <w:bCs/>
          <w:kern w:val="0"/>
          <w14:ligatures w14:val="none"/>
        </w:rPr>
        <w:tab/>
        <w:t>Florida Drug and Cosmetic Act</w:t>
      </w:r>
    </w:p>
    <w:p w14:paraId="0CD16988"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553, F.S. </w:t>
      </w:r>
      <w:r w:rsidRPr="000E114B" w:rsidDel="00346363">
        <w:rPr>
          <w:rFonts w:ascii="Arial" w:eastAsia="Times New Roman" w:hAnsi="Arial" w:cs="Arial"/>
          <w:bCs/>
          <w:kern w:val="0"/>
          <w14:ligatures w14:val="none"/>
        </w:rPr>
        <w:tab/>
        <w:t>Building Construction Standards</w:t>
      </w:r>
    </w:p>
    <w:p w14:paraId="58CA39E1"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893, F.S. </w:t>
      </w:r>
      <w:r w:rsidRPr="000E114B" w:rsidDel="00346363">
        <w:rPr>
          <w:rFonts w:ascii="Arial" w:eastAsia="Times New Roman" w:hAnsi="Arial" w:cs="Arial"/>
          <w:bCs/>
          <w:kern w:val="0"/>
          <w14:ligatures w14:val="none"/>
        </w:rPr>
        <w:tab/>
        <w:t>Drug Abuse Prevention and Control</w:t>
      </w:r>
    </w:p>
    <w:p w14:paraId="611B64C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409.906(8), F.S. Optional Medicaid Services – Community Mental Health Services</w:t>
      </w:r>
    </w:p>
    <w:p w14:paraId="72F5D9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Developmental Disabilities</w:t>
      </w:r>
    </w:p>
    <w:p w14:paraId="5C9EED0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393, F.S. </w:t>
      </w:r>
      <w:r w:rsidRPr="000E114B">
        <w:rPr>
          <w:rFonts w:ascii="Arial" w:eastAsia="Times New Roman" w:hAnsi="Arial" w:cs="Arial"/>
          <w:bCs/>
          <w:kern w:val="0"/>
          <w14:ligatures w14:val="none"/>
        </w:rPr>
        <w:tab/>
        <w:t>Developmental Disabilities</w:t>
      </w:r>
    </w:p>
    <w:p w14:paraId="57F77E3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Adult Protective Services</w:t>
      </w:r>
    </w:p>
    <w:p w14:paraId="4CB1833B"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415, F.S. </w:t>
      </w:r>
      <w:r w:rsidRPr="000E114B" w:rsidDel="00346363">
        <w:rPr>
          <w:rFonts w:ascii="Arial" w:eastAsia="Times New Roman" w:hAnsi="Arial" w:cs="Arial"/>
          <w:bCs/>
          <w:kern w:val="0"/>
          <w14:ligatures w14:val="none"/>
        </w:rPr>
        <w:tab/>
        <w:t xml:space="preserve">Adult Protective Services </w:t>
      </w:r>
    </w:p>
    <w:p w14:paraId="51044F51"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Forensics</w:t>
      </w:r>
    </w:p>
    <w:p w14:paraId="2D63AAF2"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 xml:space="preserve">Ch. 916, F.S. </w:t>
      </w:r>
      <w:r w:rsidRPr="000E114B">
        <w:rPr>
          <w:rFonts w:ascii="Arial" w:eastAsia="Times New Roman" w:hAnsi="Arial" w:cs="Arial"/>
          <w:bCs/>
          <w:kern w:val="0"/>
          <w14:ligatures w14:val="none"/>
        </w:rPr>
        <w:t>Mentally Ill and Intellectually Disabled Defendants</w:t>
      </w:r>
    </w:p>
    <w:p w14:paraId="63A1DB8E" w14:textId="77777777" w:rsidR="000E114B" w:rsidRPr="000E114B" w:rsidDel="00346363" w:rsidRDefault="000E114B" w:rsidP="006A3560">
      <w:pPr>
        <w:spacing w:before="60" w:after="60" w:line="240" w:lineRule="auto"/>
        <w:outlineLvl w:val="0"/>
        <w:rPr>
          <w:rFonts w:ascii="Arial" w:eastAsia="Times New Roman" w:hAnsi="Arial" w:cs="Arial"/>
          <w:bCs/>
          <w:kern w:val="0"/>
          <w14:ligatures w14:val="none"/>
        </w:rPr>
      </w:pPr>
      <w:r w:rsidRPr="000E114B" w:rsidDel="00346363">
        <w:rPr>
          <w:rFonts w:ascii="Arial" w:eastAsia="Times New Roman" w:hAnsi="Arial" w:cs="Arial"/>
          <w:bCs/>
          <w:kern w:val="0"/>
          <w14:ligatures w14:val="none"/>
        </w:rPr>
        <w:t>Ch. 985, F.S. Juvenile Justice; Interstate Compact on Juveniles</w:t>
      </w:r>
    </w:p>
    <w:p w14:paraId="5370C80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985.19, F.S. Incompetency in Juvenile Delinquency Cases</w:t>
      </w:r>
    </w:p>
    <w:p w14:paraId="28B68E8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985.24, F.S. Use of detention; prohibitions</w:t>
      </w:r>
    </w:p>
    <w:p w14:paraId="7E86D70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State Administrative Procedures and Services</w:t>
      </w:r>
    </w:p>
    <w:p w14:paraId="15F3859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119, F.S. </w:t>
      </w:r>
      <w:r w:rsidRPr="000E114B">
        <w:rPr>
          <w:rFonts w:ascii="Arial" w:eastAsia="Times New Roman" w:hAnsi="Arial" w:cs="Arial"/>
          <w:bCs/>
          <w:kern w:val="0"/>
          <w14:ligatures w14:val="none"/>
        </w:rPr>
        <w:tab/>
        <w:t>Public Records</w:t>
      </w:r>
    </w:p>
    <w:p w14:paraId="3A5933F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120, F.S. </w:t>
      </w:r>
      <w:r w:rsidRPr="000E114B">
        <w:rPr>
          <w:rFonts w:ascii="Arial" w:eastAsia="Times New Roman" w:hAnsi="Arial" w:cs="Arial"/>
          <w:bCs/>
          <w:kern w:val="0"/>
          <w14:ligatures w14:val="none"/>
        </w:rPr>
        <w:tab/>
        <w:t>Administrative Procedures Act</w:t>
      </w:r>
    </w:p>
    <w:p w14:paraId="0B2C89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287, F.S. </w:t>
      </w:r>
      <w:r w:rsidRPr="000E114B">
        <w:rPr>
          <w:rFonts w:ascii="Arial" w:eastAsia="Times New Roman" w:hAnsi="Arial" w:cs="Arial"/>
          <w:bCs/>
          <w:kern w:val="0"/>
          <w14:ligatures w14:val="none"/>
        </w:rPr>
        <w:tab/>
        <w:t>Procurement of Personal Property and Services</w:t>
      </w:r>
    </w:p>
    <w:p w14:paraId="469CAD6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435, F.S. </w:t>
      </w:r>
      <w:r w:rsidRPr="000E114B">
        <w:rPr>
          <w:rFonts w:ascii="Arial" w:eastAsia="Times New Roman" w:hAnsi="Arial" w:cs="Arial"/>
          <w:bCs/>
          <w:kern w:val="0"/>
          <w14:ligatures w14:val="none"/>
        </w:rPr>
        <w:tab/>
        <w:t>Employment Screening</w:t>
      </w:r>
    </w:p>
    <w:p w14:paraId="03B6605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Ch. 815, F.S. </w:t>
      </w:r>
      <w:r w:rsidRPr="000E114B">
        <w:rPr>
          <w:rFonts w:ascii="Arial" w:eastAsia="Times New Roman" w:hAnsi="Arial" w:cs="Arial"/>
          <w:bCs/>
          <w:kern w:val="0"/>
          <w14:ligatures w14:val="none"/>
        </w:rPr>
        <w:tab/>
        <w:t>Computer-Related Crimes</w:t>
      </w:r>
    </w:p>
    <w:p w14:paraId="069A4A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817, F.S.</w:t>
      </w:r>
      <w:r w:rsidRPr="000E114B">
        <w:rPr>
          <w:rFonts w:ascii="Arial" w:eastAsia="Times New Roman" w:hAnsi="Arial" w:cs="Arial"/>
          <w:bCs/>
          <w:kern w:val="0"/>
          <w14:ligatures w14:val="none"/>
        </w:rPr>
        <w:tab/>
        <w:t>Fraudulent Practices</w:t>
      </w:r>
    </w:p>
    <w:p w14:paraId="682F0E8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112.061, F.S. Per diem and travel expenses of public officers, employees, and authorized persons; statewide travel management system</w:t>
      </w:r>
    </w:p>
    <w:p w14:paraId="704E63A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112.3185, F.S. Additional standards for state agency employees</w:t>
      </w:r>
    </w:p>
    <w:p w14:paraId="0A5115F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lastRenderedPageBreak/>
        <w:t>§</w:t>
      </w:r>
      <w:r w:rsidRPr="000E114B">
        <w:rPr>
          <w:rFonts w:ascii="Arial" w:eastAsia="Times New Roman" w:hAnsi="Arial" w:cs="Arial"/>
          <w:bCs/>
          <w:kern w:val="0"/>
          <w14:ligatures w14:val="none"/>
        </w:rPr>
        <w:t xml:space="preserve"> 215.422, F.S. Payments, warrants, and invoices; processing time limits; dispute resolution; agency or judicial branch compliance</w:t>
      </w:r>
    </w:p>
    <w:p w14:paraId="63C495F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216.181(16)(b), F.S. Advanced funds for program startup or contracted services</w:t>
      </w:r>
    </w:p>
    <w:p w14:paraId="07B9505D"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u w:val="single"/>
          <w14:ligatures w14:val="none"/>
        </w:rPr>
      </w:pPr>
      <w:r w:rsidRPr="000E114B">
        <w:rPr>
          <w:rFonts w:ascii="Arial" w:eastAsia="Times New Roman" w:hAnsi="Arial" w:cs="Arial"/>
          <w:b/>
          <w:kern w:val="0"/>
          <w:u w:val="single"/>
          <w14:ligatures w14:val="none"/>
        </w:rPr>
        <w:t xml:space="preserve">FLORIDA ADMINISTRATIVE CODE </w:t>
      </w:r>
    </w:p>
    <w:p w14:paraId="6B4CC564"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Child Welfare and Community Based Care</w:t>
      </w:r>
    </w:p>
    <w:p w14:paraId="7B3D83B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65C-45, F.A.C.</w:t>
      </w:r>
      <w:r w:rsidRPr="000E114B">
        <w:rPr>
          <w:rFonts w:ascii="Arial" w:eastAsia="Times New Roman" w:hAnsi="Arial" w:cs="Arial"/>
          <w:bCs/>
          <w:kern w:val="0"/>
          <w14:ligatures w14:val="none"/>
        </w:rPr>
        <w:tab/>
        <w:t>Levels of Licensure</w:t>
      </w:r>
    </w:p>
    <w:p w14:paraId="01F2DD0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65C-46, F.A.C.</w:t>
      </w:r>
      <w:r w:rsidRPr="000E114B">
        <w:rPr>
          <w:rFonts w:ascii="Arial" w:eastAsia="Times New Roman" w:hAnsi="Arial" w:cs="Arial"/>
          <w:bCs/>
          <w:kern w:val="0"/>
          <w14:ligatures w14:val="none"/>
        </w:rPr>
        <w:tab/>
        <w:t>Child-Caring Agency Licensing</w:t>
      </w:r>
    </w:p>
    <w:p w14:paraId="5D15E50D"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65C-15, F.A.C.</w:t>
      </w:r>
      <w:r w:rsidRPr="000E114B">
        <w:rPr>
          <w:rFonts w:ascii="Arial" w:eastAsia="Times New Roman" w:hAnsi="Arial" w:cs="Arial"/>
          <w:bCs/>
          <w:kern w:val="0"/>
          <w14:ligatures w14:val="none"/>
        </w:rPr>
        <w:tab/>
        <w:t>Child-Placing Agencies</w:t>
      </w:r>
    </w:p>
    <w:p w14:paraId="2C01149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bookmarkStart w:id="4" w:name="_Hlk101692970"/>
      <w:r w:rsidRPr="000E114B">
        <w:rPr>
          <w:rFonts w:ascii="Arial" w:eastAsia="Times New Roman" w:hAnsi="Arial" w:cs="Arial"/>
          <w:b/>
          <w:kern w:val="0"/>
          <w14:ligatures w14:val="none"/>
        </w:rPr>
        <w:t>Substance Abuse and Mental Health Services</w:t>
      </w:r>
    </w:p>
    <w:p w14:paraId="407EDE49"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65D-30, F.A.C.</w:t>
      </w:r>
      <w:r w:rsidRPr="000E114B">
        <w:rPr>
          <w:rFonts w:ascii="Arial" w:eastAsia="Times New Roman" w:hAnsi="Arial" w:cs="Arial"/>
          <w:bCs/>
          <w:kern w:val="0"/>
          <w14:ligatures w14:val="none"/>
        </w:rPr>
        <w:tab/>
        <w:t>Substance Abuse Services Office</w:t>
      </w:r>
    </w:p>
    <w:p w14:paraId="5E2267AA"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65E-4, F.A.C.</w:t>
      </w:r>
      <w:r w:rsidRPr="000E114B">
        <w:rPr>
          <w:rFonts w:ascii="Arial" w:eastAsia="Times New Roman" w:hAnsi="Arial" w:cs="Arial"/>
          <w:bCs/>
          <w:kern w:val="0"/>
          <w14:ligatures w14:val="none"/>
        </w:rPr>
        <w:tab/>
        <w:t>Community Mental Health Regulation</w:t>
      </w:r>
    </w:p>
    <w:p w14:paraId="68EFDA1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65E-5, F.A.C.</w:t>
      </w:r>
      <w:r w:rsidRPr="000E114B">
        <w:rPr>
          <w:rFonts w:ascii="Arial" w:eastAsia="Times New Roman" w:hAnsi="Arial" w:cs="Arial"/>
          <w:kern w:val="0"/>
          <w14:ligatures w14:val="none"/>
        </w:rPr>
        <w:tab/>
      </w:r>
      <w:r w:rsidRPr="000E114B">
        <w:rPr>
          <w:rFonts w:ascii="Arial" w:eastAsia="Times New Roman" w:hAnsi="Arial" w:cs="Arial"/>
          <w:bCs/>
          <w:kern w:val="0"/>
          <w14:ligatures w14:val="none"/>
        </w:rPr>
        <w:t>Mental Health Act Regulation</w:t>
      </w:r>
    </w:p>
    <w:p w14:paraId="548EB5CA"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65E-9, F.A.C</w:t>
      </w:r>
      <w:r w:rsidRPr="000E114B">
        <w:rPr>
          <w:rFonts w:ascii="Arial" w:eastAsia="Times New Roman" w:hAnsi="Arial" w:cs="Arial"/>
          <w:kern w:val="0"/>
          <w14:ligatures w14:val="none"/>
        </w:rPr>
        <w:tab/>
        <w:t>Licensure of Residential Treatment Centers</w:t>
      </w:r>
    </w:p>
    <w:p w14:paraId="01E0F5E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65E-11, F.A.C.</w:t>
      </w:r>
      <w:r w:rsidRPr="000E114B">
        <w:rPr>
          <w:rFonts w:ascii="Arial" w:eastAsia="Times New Roman" w:hAnsi="Arial" w:cs="Arial"/>
          <w:bCs/>
          <w:kern w:val="0"/>
          <w14:ligatures w14:val="none"/>
        </w:rPr>
        <w:tab/>
        <w:t>Behavioral Health Services</w:t>
      </w:r>
    </w:p>
    <w:p w14:paraId="2E4577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65E-12, F.A.C.</w:t>
      </w:r>
      <w:r w:rsidRPr="000E114B">
        <w:rPr>
          <w:rFonts w:ascii="Arial" w:eastAsia="Times New Roman" w:hAnsi="Arial" w:cs="Arial"/>
          <w:bCs/>
          <w:kern w:val="0"/>
          <w14:ligatures w14:val="none"/>
        </w:rPr>
        <w:tab/>
        <w:t>Public Mental Health Crisis Stabilization Units and Short-Term Residential Treatment Programs</w:t>
      </w:r>
      <w:r w:rsidRPr="000E114B">
        <w:rPr>
          <w:rFonts w:ascii="Arial" w:eastAsia="Times New Roman" w:hAnsi="Arial" w:cs="Arial"/>
          <w:bCs/>
          <w:kern w:val="0"/>
          <w14:ligatures w14:val="none"/>
        </w:rPr>
        <w:tab/>
      </w:r>
    </w:p>
    <w:p w14:paraId="39F3390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65E-14, F.A.C.</w:t>
      </w:r>
      <w:r w:rsidRPr="000E114B">
        <w:rPr>
          <w:rFonts w:ascii="Arial" w:eastAsia="Times New Roman" w:hAnsi="Arial" w:cs="Arial"/>
          <w:bCs/>
          <w:kern w:val="0"/>
          <w14:ligatures w14:val="none"/>
        </w:rPr>
        <w:tab/>
        <w:t>Community Substance Abuse and Mental Health Services - Financial Rules</w:t>
      </w:r>
    </w:p>
    <w:p w14:paraId="42DFC651"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Ch. 65E-16, F.A.C.</w:t>
      </w:r>
      <w:r w:rsidRPr="000E114B">
        <w:rPr>
          <w:rFonts w:ascii="Arial" w:eastAsia="Times New Roman" w:hAnsi="Arial" w:cs="Arial"/>
          <w:kern w:val="0"/>
          <w14:ligatures w14:val="none"/>
        </w:rPr>
        <w:tab/>
        <w:t>Indigent Psychiatric Medication Program</w:t>
      </w:r>
    </w:p>
    <w:p w14:paraId="1DC7E6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65E-20, F.A.C.</w:t>
      </w:r>
      <w:r w:rsidRPr="000E114B">
        <w:rPr>
          <w:rFonts w:ascii="Arial" w:eastAsia="Times New Roman" w:hAnsi="Arial" w:cs="Arial"/>
          <w:bCs/>
          <w:kern w:val="0"/>
          <w14:ligatures w14:val="none"/>
        </w:rPr>
        <w:tab/>
        <w:t>Forensic Client Services Act Regulation</w:t>
      </w:r>
    </w:p>
    <w:p w14:paraId="18D5EA2C"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65E-26, F.A.C.</w:t>
      </w:r>
      <w:r w:rsidRPr="000E114B">
        <w:rPr>
          <w:rFonts w:ascii="Arial" w:eastAsia="Times New Roman" w:hAnsi="Arial" w:cs="Arial"/>
          <w:bCs/>
          <w:kern w:val="0"/>
          <w14:ligatures w14:val="none"/>
        </w:rPr>
        <w:tab/>
        <w:t>Substance Abuse and Mental Health Priority Populations and Services</w:t>
      </w:r>
    </w:p>
    <w:bookmarkEnd w:id="4"/>
    <w:p w14:paraId="618558B3"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Financial Penalties</w:t>
      </w:r>
    </w:p>
    <w:p w14:paraId="53A8A62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65-29, F.A.C.</w:t>
      </w:r>
      <w:r w:rsidRPr="000E114B">
        <w:rPr>
          <w:rFonts w:ascii="Arial" w:eastAsia="Times New Roman" w:hAnsi="Arial" w:cs="Arial"/>
          <w:bCs/>
          <w:kern w:val="0"/>
          <w14:ligatures w14:val="none"/>
        </w:rPr>
        <w:tab/>
        <w:t>Penalties on Service Providers</w:t>
      </w:r>
    </w:p>
    <w:p w14:paraId="07FA8820" w14:textId="77777777" w:rsidR="000E114B" w:rsidRPr="000E114B" w:rsidRDefault="000E114B" w:rsidP="006A3560">
      <w:pPr>
        <w:numPr>
          <w:ilvl w:val="0"/>
          <w:numId w:val="2"/>
        </w:numPr>
        <w:tabs>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u w:val="single"/>
          <w14:ligatures w14:val="none"/>
        </w:rPr>
        <w:t>MISCELLANEOUS</w:t>
      </w:r>
      <w:r w:rsidRPr="000E114B">
        <w:rPr>
          <w:rFonts w:ascii="Arial" w:eastAsia="Times New Roman" w:hAnsi="Arial" w:cs="Arial"/>
          <w:b/>
          <w:kern w:val="0"/>
          <w14:ligatures w14:val="none"/>
        </w:rPr>
        <w:tab/>
      </w:r>
    </w:p>
    <w:p w14:paraId="3144ED52"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Department of Children and Families Operating Procedures</w:t>
      </w:r>
    </w:p>
    <w:p w14:paraId="3C513762"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CFOP 155-10 / 175-40 Services for Children with Mental Health and Any Other Co-Occurring Substance Abuse or Developmental Disability Treatment Needs in Out-of-Home Care Placements </w:t>
      </w:r>
    </w:p>
    <w:p w14:paraId="12C68737"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155-11</w:t>
      </w:r>
      <w:r w:rsidRPr="000E114B">
        <w:rPr>
          <w:rFonts w:ascii="Arial" w:eastAsia="Times New Roman" w:hAnsi="Arial" w:cs="Arial"/>
          <w:bCs/>
          <w:kern w:val="0"/>
          <w14:ligatures w14:val="none"/>
        </w:rPr>
        <w:tab/>
        <w:t>Title XXI Behavioral Health Network</w:t>
      </w:r>
      <w:r w:rsidRPr="000E114B">
        <w:rPr>
          <w:rFonts w:ascii="Arial" w:eastAsia="Times New Roman" w:hAnsi="Arial" w:cs="Arial"/>
          <w:bCs/>
          <w:kern w:val="0"/>
          <w14:ligatures w14:val="none"/>
        </w:rPr>
        <w:tab/>
      </w:r>
    </w:p>
    <w:p w14:paraId="653E0FF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CFOP 155-47</w:t>
      </w:r>
      <w:r w:rsidRPr="000E114B">
        <w:rPr>
          <w:rFonts w:ascii="Arial" w:eastAsia="Times New Roman" w:hAnsi="Arial" w:cs="Arial"/>
          <w:bCs/>
          <w:kern w:val="0"/>
          <w14:ligatures w14:val="none"/>
        </w:rPr>
        <w:tab/>
        <w:t>Processing Referrals from the Department of Corrections</w:t>
      </w:r>
      <w:r w:rsidRPr="000E114B">
        <w:rPr>
          <w:rFonts w:ascii="Arial" w:eastAsia="Times New Roman" w:hAnsi="Arial" w:cs="Arial"/>
          <w:bCs/>
          <w:kern w:val="0"/>
          <w14:ligatures w14:val="none"/>
        </w:rPr>
        <w:tab/>
      </w:r>
    </w:p>
    <w:p w14:paraId="18F6448E"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 xml:space="preserve">CFOP 215-6 </w:t>
      </w:r>
      <w:r w:rsidRPr="000E114B">
        <w:rPr>
          <w:rFonts w:ascii="Arial" w:eastAsia="Times New Roman" w:hAnsi="Arial" w:cs="Arial"/>
          <w:kern w:val="0"/>
          <w14:ligatures w14:val="none"/>
        </w:rPr>
        <w:tab/>
        <w:t>Incident Reporting and Analysis System (IRAS)</w:t>
      </w:r>
    </w:p>
    <w:p w14:paraId="3AB0B14F" w14:textId="77777777" w:rsidR="000E114B" w:rsidRPr="000E114B" w:rsidRDefault="000E114B" w:rsidP="006A3560">
      <w:pPr>
        <w:keepNext/>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Standards applicable to Cost Principles, Audits, Financial Assistance and Administrative Requirements</w:t>
      </w:r>
    </w:p>
    <w:p w14:paraId="278F069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215.425, F.S. </w:t>
      </w:r>
      <w:r w:rsidRPr="000E114B">
        <w:rPr>
          <w:rFonts w:ascii="Arial" w:eastAsia="Times New Roman" w:hAnsi="Arial" w:cs="Arial"/>
          <w:bCs/>
          <w:kern w:val="0"/>
          <w14:ligatures w14:val="none"/>
        </w:rPr>
        <w:tab/>
        <w:t>Extra Compensation Claims prohibited; bonuses; severance pay</w:t>
      </w:r>
    </w:p>
    <w:p w14:paraId="34FD392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 F.S. </w:t>
      </w:r>
      <w:r w:rsidRPr="000E114B">
        <w:rPr>
          <w:rFonts w:ascii="Arial" w:eastAsia="Times New Roman" w:hAnsi="Arial" w:cs="Arial"/>
          <w:bCs/>
          <w:kern w:val="0"/>
          <w14:ligatures w14:val="none"/>
        </w:rPr>
        <w:tab/>
        <w:t>Florida Single Audit Act</w:t>
      </w:r>
    </w:p>
    <w:p w14:paraId="71868CF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215.971, F.S.</w:t>
      </w:r>
      <w:r w:rsidRPr="000E114B">
        <w:rPr>
          <w:rFonts w:ascii="Arial" w:eastAsia="Times New Roman" w:hAnsi="Arial" w:cs="Arial"/>
          <w:bCs/>
          <w:kern w:val="0"/>
          <w14:ligatures w14:val="none"/>
        </w:rPr>
        <w:tab/>
        <w:t>Agreements funded with federal or state assistance</w:t>
      </w:r>
    </w:p>
    <w:p w14:paraId="51DBE7D4"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69I-42, F.A.C.</w:t>
      </w:r>
      <w:r w:rsidRPr="000E114B">
        <w:rPr>
          <w:rFonts w:ascii="Arial" w:eastAsia="Times New Roman" w:hAnsi="Arial" w:cs="Arial"/>
          <w:bCs/>
          <w:kern w:val="0"/>
          <w14:ligatures w14:val="none"/>
        </w:rPr>
        <w:tab/>
        <w:t>Travel Expenses</w:t>
      </w:r>
    </w:p>
    <w:p w14:paraId="7C599E15"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Ch. 69I-5, F.A.C</w:t>
      </w:r>
      <w:r w:rsidRPr="000E114B">
        <w:rPr>
          <w:rFonts w:ascii="Arial" w:eastAsia="Times New Roman" w:hAnsi="Arial" w:cs="Arial"/>
          <w:bCs/>
          <w:kern w:val="0"/>
          <w14:ligatures w14:val="none"/>
        </w:rPr>
        <w:tab/>
        <w:t>State Financial Assistance</w:t>
      </w:r>
    </w:p>
    <w:p w14:paraId="1512855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01 - Contract and Grant Reviews and Related Payment Processing Requirements</w:t>
      </w:r>
    </w:p>
    <w:p w14:paraId="0291274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CFO’s Memorandum No. 02 - Reference Guide for State Expenditures</w:t>
      </w:r>
    </w:p>
    <w:p w14:paraId="159D9BA1" w14:textId="77777777" w:rsidR="000E114B" w:rsidRPr="000E114B" w:rsidRDefault="000E114B" w:rsidP="006A3560">
      <w:pPr>
        <w:tabs>
          <w:tab w:val="left" w:pos="2268"/>
          <w:tab w:val="left" w:pos="3600"/>
        </w:tabs>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 xml:space="preserve">Comptroller’s Memorandum No. 04 - Guidance on all Contractual Service Agreements Pursuant to </w:t>
      </w:r>
      <w:r w:rsidRPr="000E114B">
        <w:rPr>
          <w:rFonts w:ascii="Arial" w:eastAsia="Times New Roman" w:hAnsi="Arial" w:cs="Arial"/>
          <w:kern w:val="0"/>
          <w14:ligatures w14:val="none"/>
        </w:rPr>
        <w:t xml:space="preserve">§ </w:t>
      </w:r>
      <w:r w:rsidRPr="000E114B">
        <w:rPr>
          <w:rFonts w:ascii="Arial" w:eastAsia="Times New Roman" w:hAnsi="Arial" w:cs="Arial"/>
          <w:bCs/>
          <w:kern w:val="0"/>
          <w14:ligatures w14:val="none"/>
        </w:rPr>
        <w:t>215.971, Florida Statutes</w:t>
      </w:r>
    </w:p>
    <w:p w14:paraId="5A681D1F"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lastRenderedPageBreak/>
        <w:t>CFO’s Memorandum No. 20 - Compliance Requirements for Agreements</w:t>
      </w:r>
    </w:p>
    <w:p w14:paraId="6732107E"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180</w:t>
      </w:r>
      <w:r w:rsidRPr="000E114B">
        <w:rPr>
          <w:rFonts w:ascii="Arial" w:eastAsia="Times New Roman" w:hAnsi="Arial" w:cs="Arial"/>
          <w:bCs/>
          <w:kern w:val="0"/>
          <w14:ligatures w14:val="none"/>
        </w:rPr>
        <w:tab/>
        <w:t>Office of Management and Budget Guidelines to Agencies on Government Wide Debarment and Suspension (Non-procurement)</w:t>
      </w:r>
    </w:p>
    <w:p w14:paraId="06AF90A3"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200</w:t>
      </w:r>
      <w:r w:rsidRPr="000E114B">
        <w:rPr>
          <w:rFonts w:ascii="Arial" w:eastAsia="Times New Roman" w:hAnsi="Arial" w:cs="Arial"/>
          <w:bCs/>
          <w:kern w:val="0"/>
          <w14:ligatures w14:val="none"/>
        </w:rPr>
        <w:tab/>
        <w:t xml:space="preserve">Office of Management and Budget Guidance - Uniform Administrative Requirements, Cost Principles, and Audit Requirements for Federal Awards, available at </w:t>
      </w:r>
      <w:hyperlink r:id="rId7" w:history="1">
        <w:r w:rsidRPr="000E114B">
          <w:rPr>
            <w:rFonts w:ascii="Arial" w:eastAsia="Times New Roman" w:hAnsi="Arial" w:cs="Arial"/>
            <w:color w:val="0563C1"/>
            <w:kern w:val="0"/>
            <w:u w:val="single"/>
            <w14:ligatures w14:val="none"/>
          </w:rPr>
          <w:t>https://www.ecfr.gov/current/title-2/subtitle-A/chapter-II/part-200</w:t>
        </w:r>
      </w:hyperlink>
      <w:r w:rsidRPr="000E114B">
        <w:rPr>
          <w:rFonts w:ascii="Arial" w:eastAsia="Times New Roman" w:hAnsi="Arial" w:cs="Arial"/>
          <w:kern w:val="0"/>
          <w14:ligatures w14:val="none"/>
        </w:rPr>
        <w:t xml:space="preserve"> </w:t>
      </w:r>
    </w:p>
    <w:p w14:paraId="184C6F0B"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2 CFR, Part 300</w:t>
      </w:r>
      <w:r w:rsidRPr="000E114B">
        <w:rPr>
          <w:rFonts w:ascii="Arial" w:eastAsia="Times New Roman" w:hAnsi="Arial" w:cs="Arial"/>
          <w:bCs/>
          <w:kern w:val="0"/>
          <w14:ligatures w14:val="none"/>
        </w:rPr>
        <w:tab/>
        <w:t>Department of Health and Human Services - Office of Management and Budget Guidance - Uniform Administrative Requirements, Cost Principles, and Audit Requirements for Federal Awards, Adoption of 2 CFR Part 200</w:t>
      </w:r>
    </w:p>
    <w:p w14:paraId="474CCAD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bCs/>
          <w:kern w:val="0"/>
          <w14:ligatures w14:val="none"/>
        </w:rPr>
        <w:t>45 CFR, Part 75</w:t>
      </w:r>
      <w:r w:rsidRPr="000E114B">
        <w:rPr>
          <w:rFonts w:ascii="Arial" w:eastAsia="Times New Roman" w:hAnsi="Arial" w:cs="Arial"/>
          <w:bCs/>
          <w:kern w:val="0"/>
          <w14:ligatures w14:val="none"/>
        </w:rPr>
        <w:tab/>
        <w:t>Uniform Administration Requirements, Cost Principles, and Audit Requirements for HHS Awards</w:t>
      </w:r>
    </w:p>
    <w:p w14:paraId="680D9B40" w14:textId="77777777" w:rsidR="000E114B" w:rsidRPr="000E114B" w:rsidRDefault="000E114B" w:rsidP="006A3560">
      <w:pPr>
        <w:numPr>
          <w:ilvl w:val="1"/>
          <w:numId w:val="2"/>
        </w:numPr>
        <w:tabs>
          <w:tab w:val="num" w:pos="936"/>
          <w:tab w:val="left" w:pos="2268"/>
        </w:tabs>
        <w:spacing w:before="60" w:after="60" w:line="240" w:lineRule="auto"/>
        <w:outlineLvl w:val="0"/>
        <w:rPr>
          <w:rFonts w:ascii="Arial" w:eastAsia="Times New Roman" w:hAnsi="Arial" w:cs="Arial"/>
          <w:b/>
          <w:kern w:val="0"/>
          <w14:ligatures w14:val="none"/>
        </w:rPr>
      </w:pPr>
      <w:r w:rsidRPr="000E114B">
        <w:rPr>
          <w:rFonts w:ascii="Arial" w:eastAsia="Times New Roman" w:hAnsi="Arial" w:cs="Arial"/>
          <w:b/>
          <w:kern w:val="0"/>
          <w14:ligatures w14:val="none"/>
        </w:rPr>
        <w:t>Data Collection and Reporting Requirements</w:t>
      </w:r>
    </w:p>
    <w:p w14:paraId="6D09D298"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394.74(3)(e), F.S.</w:t>
      </w:r>
      <w:r w:rsidRPr="000E114B">
        <w:rPr>
          <w:rFonts w:ascii="Arial" w:eastAsia="Times New Roman" w:hAnsi="Arial" w:cs="Arial"/>
          <w:bCs/>
          <w:kern w:val="0"/>
          <w14:ligatures w14:val="none"/>
        </w:rPr>
        <w:tab/>
        <w:t>Data Submission</w:t>
      </w:r>
    </w:p>
    <w:p w14:paraId="2CE10416"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394.9082, F.S.</w:t>
      </w:r>
      <w:r w:rsidRPr="000E114B">
        <w:rPr>
          <w:rFonts w:ascii="Arial" w:eastAsia="Times New Roman" w:hAnsi="Arial" w:cs="Arial"/>
          <w:bCs/>
          <w:kern w:val="0"/>
          <w14:ligatures w14:val="none"/>
        </w:rPr>
        <w:tab/>
        <w:t>Behavioral health managing entities</w:t>
      </w:r>
    </w:p>
    <w:p w14:paraId="4F668500"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394.77, F.S.</w:t>
      </w:r>
      <w:r w:rsidRPr="000E114B">
        <w:rPr>
          <w:rFonts w:ascii="Arial" w:eastAsia="Times New Roman" w:hAnsi="Arial" w:cs="Arial"/>
          <w:bCs/>
          <w:kern w:val="0"/>
          <w14:ligatures w14:val="none"/>
        </w:rPr>
        <w:tab/>
        <w:t xml:space="preserve">Uniform management information, accounting, and reporting systems for providers </w:t>
      </w:r>
    </w:p>
    <w:p w14:paraId="2B093601" w14:textId="77777777" w:rsidR="000E114B" w:rsidRPr="000E114B" w:rsidRDefault="000E114B" w:rsidP="006A3560">
      <w:pPr>
        <w:spacing w:before="60" w:after="60" w:line="240" w:lineRule="auto"/>
        <w:outlineLvl w:val="0"/>
        <w:rPr>
          <w:rFonts w:ascii="Arial" w:eastAsia="Times New Roman" w:hAnsi="Arial" w:cs="Arial"/>
          <w:bCs/>
          <w:kern w:val="0"/>
          <w14:ligatures w14:val="none"/>
        </w:rPr>
      </w:pPr>
      <w:r w:rsidRPr="000E114B">
        <w:rPr>
          <w:rFonts w:ascii="Arial" w:eastAsia="Times New Roman" w:hAnsi="Arial" w:cs="Arial"/>
          <w:kern w:val="0"/>
          <w14:ligatures w14:val="none"/>
        </w:rPr>
        <w:t>§</w:t>
      </w:r>
      <w:r w:rsidRPr="000E114B">
        <w:rPr>
          <w:rFonts w:ascii="Arial" w:eastAsia="Times New Roman" w:hAnsi="Arial" w:cs="Arial"/>
          <w:bCs/>
          <w:kern w:val="0"/>
          <w14:ligatures w14:val="none"/>
        </w:rPr>
        <w:t xml:space="preserve"> 397.321(3)(c), F.S.</w:t>
      </w:r>
      <w:r w:rsidRPr="000E114B">
        <w:rPr>
          <w:rFonts w:ascii="Arial" w:eastAsia="Times New Roman" w:hAnsi="Arial" w:cs="Arial"/>
          <w:bCs/>
          <w:kern w:val="0"/>
          <w14:ligatures w14:val="none"/>
        </w:rPr>
        <w:tab/>
        <w:t xml:space="preserve">Data collection and dissemination system </w:t>
      </w:r>
    </w:p>
    <w:p w14:paraId="1B699883" w14:textId="77777777" w:rsidR="000E114B" w:rsidRPr="000E114B" w:rsidRDefault="000E114B" w:rsidP="006A3560">
      <w:pPr>
        <w:spacing w:before="60" w:after="60" w:line="240" w:lineRule="auto"/>
        <w:outlineLvl w:val="0"/>
        <w:rPr>
          <w:rFonts w:ascii="Arial" w:eastAsia="Times New Roman" w:hAnsi="Arial" w:cs="Arial"/>
          <w:kern w:val="0"/>
          <w14:ligatures w14:val="none"/>
        </w:rPr>
      </w:pPr>
      <w:r w:rsidRPr="000E114B">
        <w:rPr>
          <w:rFonts w:ascii="Arial" w:eastAsia="Times New Roman" w:hAnsi="Arial" w:cs="Arial"/>
          <w:kern w:val="0"/>
          <w14:ligatures w14:val="none"/>
        </w:rPr>
        <w:t>DCF PAM 155-2</w:t>
      </w:r>
      <w:r w:rsidRPr="000E114B">
        <w:rPr>
          <w:rFonts w:ascii="Arial" w:eastAsia="Times New Roman" w:hAnsi="Arial" w:cs="Arial"/>
          <w:kern w:val="0"/>
          <w14:ligatures w14:val="none"/>
        </w:rPr>
        <w:tab/>
        <w:t xml:space="preserve">The Department’s Substance Abuse and Mental Health data system. </w:t>
      </w:r>
      <w:r w:rsidRPr="000E114B">
        <w:rPr>
          <w:rFonts w:ascii="Arial" w:eastAsia="Times New Roman" w:hAnsi="Arial" w:cs="Arial"/>
          <w:kern w:val="0"/>
          <w14:ligatures w14:val="none"/>
        </w:rPr>
        <w:tab/>
      </w:r>
    </w:p>
    <w:p w14:paraId="3D0C8C64"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2572B803"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3D0A2335"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48F5731B"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B4DBE42" w14:textId="77777777" w:rsidR="000E114B" w:rsidRPr="000E114B" w:rsidRDefault="000E114B" w:rsidP="006A3560">
      <w:pPr>
        <w:tabs>
          <w:tab w:val="left" w:pos="1260"/>
        </w:tabs>
        <w:spacing w:before="60" w:after="60" w:line="240" w:lineRule="auto"/>
        <w:outlineLvl w:val="0"/>
        <w:rPr>
          <w:rFonts w:ascii="Arial Narrow" w:eastAsia="Calibri" w:hAnsi="Arial Narrow" w:cs="Arial"/>
          <w:iCs/>
          <w:kern w:val="0"/>
          <w14:ligatures w14:val="none"/>
        </w:rPr>
      </w:pPr>
      <w:r w:rsidRPr="000E114B">
        <w:rPr>
          <w:rFonts w:ascii="Arial" w:eastAsia="Calibri" w:hAnsi="Arial" w:cs="Arial"/>
          <w:b/>
          <w:iCs/>
          <w:kern w:val="0"/>
          <w14:ligatures w14:val="none"/>
        </w:rPr>
        <w:t>REMAINDER OF PAGE INTENTIONALLY LEFT BLANK</w:t>
      </w:r>
    </w:p>
    <w:p w14:paraId="4088AF96" w14:textId="77777777" w:rsidR="000E114B" w:rsidRPr="000E114B" w:rsidRDefault="000E114B" w:rsidP="006A3560">
      <w:pPr>
        <w:spacing w:before="60" w:after="60" w:line="240" w:lineRule="auto"/>
        <w:outlineLvl w:val="0"/>
        <w:rPr>
          <w:rFonts w:ascii="Arial" w:eastAsia="Times New Roman" w:hAnsi="Arial" w:cs="Arial"/>
          <w:b/>
          <w:kern w:val="0"/>
          <w14:ligatures w14:val="none"/>
        </w:rPr>
      </w:pPr>
    </w:p>
    <w:p w14:paraId="0EB2F736" w14:textId="77777777" w:rsidR="009956AB" w:rsidRDefault="009956AB" w:rsidP="006A3560">
      <w:pPr>
        <w:spacing w:before="60" w:after="60" w:line="240" w:lineRule="auto"/>
        <w:outlineLvl w:val="0"/>
      </w:pPr>
    </w:p>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5D0D"/>
    <w:multiLevelType w:val="multilevel"/>
    <w:tmpl w:val="FDD0C6CE"/>
    <w:lvl w:ilvl="0">
      <w:start w:val="1"/>
      <w:numFmt w:val="decimal"/>
      <w:lvlText w:val="A1.%1"/>
      <w:lvlJc w:val="left"/>
      <w:pPr>
        <w:tabs>
          <w:tab w:val="num" w:pos="554"/>
        </w:tabs>
        <w:ind w:left="540" w:hanging="540"/>
      </w:pPr>
      <w:rPr>
        <w:rFonts w:ascii="Arial" w:hAnsi="Arial" w:hint="default"/>
        <w:b/>
        <w:i w:val="0"/>
        <w:sz w:val="22"/>
      </w:rPr>
    </w:lvl>
    <w:lvl w:ilvl="1">
      <w:start w:val="1"/>
      <w:numFmt w:val="decimal"/>
      <w:lvlText w:val="A1.%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abstractNum w:abstractNumId="1" w15:restartNumberingAfterBreak="0">
    <w:nsid w:val="60822DF8"/>
    <w:multiLevelType w:val="multilevel"/>
    <w:tmpl w:val="AA5883D2"/>
    <w:lvl w:ilvl="0">
      <w:start w:val="1"/>
      <w:numFmt w:val="decimal"/>
      <w:lvlText w:val="A2.%1"/>
      <w:lvlJc w:val="left"/>
      <w:pPr>
        <w:tabs>
          <w:tab w:val="num" w:pos="576"/>
        </w:tabs>
        <w:ind w:left="0" w:firstLine="0"/>
      </w:pPr>
      <w:rPr>
        <w:rFonts w:ascii="Arial" w:hAnsi="Arial" w:hint="default"/>
        <w:b/>
        <w:i w:val="0"/>
        <w:sz w:val="22"/>
      </w:rPr>
    </w:lvl>
    <w:lvl w:ilvl="1">
      <w:start w:val="1"/>
      <w:numFmt w:val="decimal"/>
      <w:lvlText w:val="A2.%1.%2"/>
      <w:lvlJc w:val="left"/>
      <w:pPr>
        <w:tabs>
          <w:tab w:val="num" w:pos="576"/>
        </w:tabs>
        <w:ind w:left="0" w:firstLine="0"/>
      </w:pPr>
      <w:rPr>
        <w:rFonts w:ascii="Arial" w:hAnsi="Arial" w:hint="default"/>
        <w:b/>
        <w:i w:val="0"/>
        <w:sz w:val="22"/>
      </w:rPr>
    </w:lvl>
    <w:lvl w:ilvl="2">
      <w:start w:val="1"/>
      <w:numFmt w:val="decimal"/>
      <w:lvlText w:val="A2.%1.%2.%3"/>
      <w:lvlJc w:val="left"/>
      <w:pPr>
        <w:tabs>
          <w:tab w:val="num" w:pos="576"/>
        </w:tabs>
        <w:ind w:left="0" w:firstLine="0"/>
      </w:pPr>
      <w:rPr>
        <w:rFonts w:ascii="Arial" w:hAnsi="Arial" w:hint="default"/>
        <w:b/>
        <w:i w:val="0"/>
        <w:sz w:val="22"/>
      </w:rPr>
    </w:lvl>
    <w:lvl w:ilvl="3">
      <w:start w:val="1"/>
      <w:numFmt w:val="decimal"/>
      <w:lvlText w:val="A2.%1.%2.%3.%4"/>
      <w:lvlJc w:val="left"/>
      <w:pPr>
        <w:tabs>
          <w:tab w:val="num" w:pos="576"/>
        </w:tabs>
        <w:ind w:left="0" w:firstLine="360"/>
      </w:pPr>
      <w:rPr>
        <w:rFonts w:ascii="Arial" w:hAnsi="Arial" w:hint="default"/>
        <w:b/>
        <w:i w:val="0"/>
        <w:sz w:val="22"/>
      </w:rPr>
    </w:lvl>
    <w:lvl w:ilvl="4">
      <w:start w:val="1"/>
      <w:numFmt w:val="decimal"/>
      <w:lvlText w:val="A2.%1.%2.%3.%4.%5"/>
      <w:lvlJc w:val="left"/>
      <w:pPr>
        <w:tabs>
          <w:tab w:val="num" w:pos="720"/>
        </w:tabs>
        <w:ind w:left="0" w:firstLine="720"/>
      </w:pPr>
      <w:rPr>
        <w:rFonts w:ascii="Arial" w:hAnsi="Arial" w:hint="default"/>
        <w:b/>
        <w:i w:val="0"/>
        <w:sz w:val="22"/>
      </w:rPr>
    </w:lvl>
    <w:lvl w:ilvl="5">
      <w:start w:val="1"/>
      <w:numFmt w:val="decimal"/>
      <w:lvlText w:val="A2.%1.%2.%3.%4.%5.%6"/>
      <w:lvlJc w:val="left"/>
      <w:pPr>
        <w:tabs>
          <w:tab w:val="num" w:pos="1080"/>
        </w:tabs>
        <w:ind w:left="0" w:firstLine="1080"/>
      </w:pPr>
      <w:rPr>
        <w:rFonts w:ascii="Arial" w:hAnsi="Arial" w:hint="default"/>
        <w:b/>
        <w:i w:val="0"/>
        <w:sz w:val="22"/>
      </w:rPr>
    </w:lvl>
    <w:lvl w:ilvl="6">
      <w:start w:val="1"/>
      <w:numFmt w:val="decimal"/>
      <w:lvlText w:val="A2-%1.%2.%3.%4.%5.%6.%7"/>
      <w:lvlJc w:val="left"/>
      <w:pPr>
        <w:tabs>
          <w:tab w:val="num" w:pos="576"/>
        </w:tabs>
        <w:ind w:left="0" w:firstLine="0"/>
      </w:pPr>
      <w:rPr>
        <w:rFonts w:ascii="Arial" w:hAnsi="Arial" w:hint="default"/>
        <w:b/>
        <w:i w:val="0"/>
        <w:sz w:val="22"/>
      </w:rPr>
    </w:lvl>
    <w:lvl w:ilvl="7">
      <w:start w:val="1"/>
      <w:numFmt w:val="decimal"/>
      <w:lvlText w:val="A2-%1.%2.%3.%4.%5.%6.%8"/>
      <w:lvlJc w:val="left"/>
      <w:pPr>
        <w:tabs>
          <w:tab w:val="num" w:pos="576"/>
        </w:tabs>
        <w:ind w:left="0" w:firstLine="0"/>
      </w:pPr>
      <w:rPr>
        <w:rFonts w:ascii="Arial" w:hAnsi="Arial" w:hint="default"/>
        <w:b/>
        <w:i w:val="0"/>
        <w:sz w:val="22"/>
      </w:rPr>
    </w:lvl>
    <w:lvl w:ilvl="8">
      <w:start w:val="1"/>
      <w:numFmt w:val="decimal"/>
      <w:lvlText w:val="A2-%1.%2.%3.%4.%5.%6.%7.%8.%9"/>
      <w:lvlJc w:val="left"/>
      <w:pPr>
        <w:tabs>
          <w:tab w:val="num" w:pos="576"/>
        </w:tabs>
        <w:ind w:left="0" w:firstLine="0"/>
      </w:pPr>
      <w:rPr>
        <w:rFonts w:ascii="Arial" w:hAnsi="Arial" w:hint="default"/>
        <w:b/>
        <w:i w:val="0"/>
        <w:sz w:val="22"/>
      </w:rPr>
    </w:lvl>
  </w:abstractNum>
  <w:abstractNum w:abstractNumId="2" w15:restartNumberingAfterBreak="0">
    <w:nsid w:val="67654879"/>
    <w:multiLevelType w:val="multilevel"/>
    <w:tmpl w:val="5FD6FBE6"/>
    <w:lvl w:ilvl="0">
      <w:start w:val="1"/>
      <w:numFmt w:val="decimal"/>
      <w:lvlText w:val="A.%1"/>
      <w:lvlJc w:val="left"/>
      <w:pPr>
        <w:tabs>
          <w:tab w:val="num" w:pos="554"/>
        </w:tabs>
        <w:ind w:left="540" w:hanging="540"/>
      </w:pPr>
      <w:rPr>
        <w:rFonts w:ascii="Arial" w:hAnsi="Arial" w:hint="default"/>
        <w:b/>
        <w:i w:val="0"/>
        <w:sz w:val="22"/>
      </w:rPr>
    </w:lvl>
    <w:lvl w:ilvl="1">
      <w:start w:val="1"/>
      <w:numFmt w:val="decimal"/>
      <w:lvlText w:val="A.%1.%2"/>
      <w:lvlJc w:val="left"/>
      <w:pPr>
        <w:tabs>
          <w:tab w:val="num" w:pos="720"/>
        </w:tabs>
        <w:ind w:left="720" w:hanging="720"/>
      </w:pPr>
      <w:rPr>
        <w:rFonts w:ascii="Arial" w:hAnsi="Arial" w:hint="default"/>
        <w:b/>
        <w:i w:val="0"/>
        <w:sz w:val="22"/>
      </w:rPr>
    </w:lvl>
    <w:lvl w:ilvl="2">
      <w:start w:val="1"/>
      <w:numFmt w:val="decimal"/>
      <w:lvlText w:val="A.%1.%2.%3"/>
      <w:lvlJc w:val="left"/>
      <w:pPr>
        <w:tabs>
          <w:tab w:val="num" w:pos="1080"/>
        </w:tabs>
        <w:ind w:left="1080" w:hanging="1080"/>
      </w:pPr>
      <w:rPr>
        <w:rFonts w:ascii="Arial" w:hAnsi="Arial" w:hint="default"/>
        <w:b/>
        <w:i w:val="0"/>
        <w:sz w:val="22"/>
      </w:rPr>
    </w:lvl>
    <w:lvl w:ilvl="3">
      <w:start w:val="1"/>
      <w:numFmt w:val="decimal"/>
      <w:lvlText w:val="A.%1.%2.%3.%4"/>
      <w:lvlJc w:val="left"/>
      <w:pPr>
        <w:tabs>
          <w:tab w:val="num" w:pos="1440"/>
        </w:tabs>
        <w:ind w:left="1440" w:hanging="1080"/>
      </w:pPr>
      <w:rPr>
        <w:rFonts w:ascii="Arial" w:hAnsi="Arial" w:hint="default"/>
        <w:b/>
        <w:i w:val="0"/>
        <w:sz w:val="22"/>
      </w:rPr>
    </w:lvl>
    <w:lvl w:ilvl="4">
      <w:start w:val="1"/>
      <w:numFmt w:val="decimal"/>
      <w:lvlText w:val="A.%1.%2.%3.%4.%5"/>
      <w:lvlJc w:val="left"/>
      <w:pPr>
        <w:tabs>
          <w:tab w:val="num" w:pos="2160"/>
        </w:tabs>
        <w:ind w:left="2160" w:hanging="1440"/>
      </w:pPr>
      <w:rPr>
        <w:rFonts w:ascii="Arial" w:hAnsi="Arial" w:hint="default"/>
        <w:b/>
        <w:i w:val="0"/>
        <w:sz w:val="22"/>
      </w:rPr>
    </w:lvl>
    <w:lvl w:ilvl="5">
      <w:start w:val="1"/>
      <w:numFmt w:val="decimal"/>
      <w:lvlText w:val="A.%1.%2.%3.%4.%5.%6"/>
      <w:lvlJc w:val="left"/>
      <w:pPr>
        <w:tabs>
          <w:tab w:val="num" w:pos="2880"/>
        </w:tabs>
        <w:ind w:left="2880" w:hanging="1800"/>
      </w:pPr>
      <w:rPr>
        <w:rFonts w:ascii="Arial" w:hAnsi="Arial" w:hint="default"/>
        <w:b/>
        <w:i w:val="0"/>
        <w:sz w:val="22"/>
      </w:rPr>
    </w:lvl>
    <w:lvl w:ilvl="6">
      <w:start w:val="1"/>
      <w:numFmt w:val="decimal"/>
      <w:lvlText w:val="A.%1.%2.%3.%4.%5.%6.%7"/>
      <w:lvlJc w:val="left"/>
      <w:pPr>
        <w:tabs>
          <w:tab w:val="num" w:pos="3600"/>
        </w:tabs>
        <w:ind w:left="3600" w:hanging="2160"/>
      </w:pPr>
      <w:rPr>
        <w:rFonts w:ascii="Arial" w:hAnsi="Arial" w:hint="default"/>
        <w:b/>
        <w:i w:val="0"/>
        <w:sz w:val="22"/>
      </w:rPr>
    </w:lvl>
    <w:lvl w:ilvl="7">
      <w:start w:val="1"/>
      <w:numFmt w:val="decimal"/>
      <w:lvlText w:val="A.%1.%2.%3.%4.%5.%6.%7.%8."/>
      <w:lvlJc w:val="left"/>
      <w:pPr>
        <w:ind w:left="1800" w:firstLine="0"/>
      </w:pPr>
      <w:rPr>
        <w:rFonts w:ascii="Arial" w:hAnsi="Arial" w:hint="default"/>
        <w:b/>
        <w:i w:val="0"/>
        <w:sz w:val="22"/>
      </w:rPr>
    </w:lvl>
    <w:lvl w:ilvl="8">
      <w:start w:val="1"/>
      <w:numFmt w:val="decimal"/>
      <w:lvlText w:val="A.%1.%2.%3.%4.%5.%6.%7.%8.%9."/>
      <w:lvlJc w:val="left"/>
      <w:pPr>
        <w:ind w:left="2160" w:firstLine="0"/>
      </w:pPr>
      <w:rPr>
        <w:rFonts w:ascii="Arial" w:hAnsi="Arial" w:hint="default"/>
        <w:b/>
        <w:i w:val="0"/>
        <w:sz w:val="22"/>
      </w:rPr>
    </w:lvl>
  </w:abstractNum>
  <w:num w:numId="1" w16cid:durableId="506091885">
    <w:abstractNumId w:val="2"/>
  </w:num>
  <w:num w:numId="2" w16cid:durableId="404186829">
    <w:abstractNumId w:val="1"/>
  </w:num>
  <w:num w:numId="3" w16cid:durableId="198778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4B"/>
    <w:rsid w:val="000E114B"/>
    <w:rsid w:val="002233EE"/>
    <w:rsid w:val="004F5DE8"/>
    <w:rsid w:val="00537121"/>
    <w:rsid w:val="006A3560"/>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020A"/>
  <w15:chartTrackingRefBased/>
  <w15:docId w15:val="{5F476A89-717C-4BF6-8355-65FD947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4B"/>
    <w:rPr>
      <w:rFonts w:eastAsiaTheme="majorEastAsia" w:cstheme="majorBidi"/>
      <w:color w:val="272727" w:themeColor="text1" w:themeTint="D8"/>
    </w:rPr>
  </w:style>
  <w:style w:type="paragraph" w:styleId="Title">
    <w:name w:val="Title"/>
    <w:basedOn w:val="Normal"/>
    <w:next w:val="Normal"/>
    <w:link w:val="TitleChar"/>
    <w:uiPriority w:val="10"/>
    <w:qFormat/>
    <w:rsid w:val="000E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4B"/>
    <w:pPr>
      <w:spacing w:before="160"/>
      <w:jc w:val="center"/>
    </w:pPr>
    <w:rPr>
      <w:i/>
      <w:iCs/>
      <w:color w:val="404040" w:themeColor="text1" w:themeTint="BF"/>
    </w:rPr>
  </w:style>
  <w:style w:type="character" w:customStyle="1" w:styleId="QuoteChar">
    <w:name w:val="Quote Char"/>
    <w:basedOn w:val="DefaultParagraphFont"/>
    <w:link w:val="Quote"/>
    <w:uiPriority w:val="29"/>
    <w:rsid w:val="000E114B"/>
    <w:rPr>
      <w:i/>
      <w:iCs/>
      <w:color w:val="404040" w:themeColor="text1" w:themeTint="BF"/>
    </w:rPr>
  </w:style>
  <w:style w:type="paragraph" w:styleId="ListParagraph">
    <w:name w:val="List Paragraph"/>
    <w:basedOn w:val="Normal"/>
    <w:uiPriority w:val="34"/>
    <w:qFormat/>
    <w:rsid w:val="000E114B"/>
    <w:pPr>
      <w:ind w:left="720"/>
      <w:contextualSpacing/>
    </w:pPr>
  </w:style>
  <w:style w:type="character" w:styleId="IntenseEmphasis">
    <w:name w:val="Intense Emphasis"/>
    <w:basedOn w:val="DefaultParagraphFont"/>
    <w:uiPriority w:val="21"/>
    <w:qFormat/>
    <w:rsid w:val="000E114B"/>
    <w:rPr>
      <w:i/>
      <w:iCs/>
      <w:color w:val="0F4761" w:themeColor="accent1" w:themeShade="BF"/>
    </w:rPr>
  </w:style>
  <w:style w:type="paragraph" w:styleId="IntenseQuote">
    <w:name w:val="Intense Quote"/>
    <w:basedOn w:val="Normal"/>
    <w:next w:val="Normal"/>
    <w:link w:val="IntenseQuoteChar"/>
    <w:uiPriority w:val="30"/>
    <w:qFormat/>
    <w:rsid w:val="000E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14B"/>
    <w:rPr>
      <w:i/>
      <w:iCs/>
      <w:color w:val="0F4761" w:themeColor="accent1" w:themeShade="BF"/>
    </w:rPr>
  </w:style>
  <w:style w:type="character" w:styleId="IntenseReference">
    <w:name w:val="Intense Reference"/>
    <w:basedOn w:val="DefaultParagraphFont"/>
    <w:uiPriority w:val="32"/>
    <w:qFormat/>
    <w:rsid w:val="000E1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subtitle-A/chapter-II/part-20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substance-abuse-and-mental-health/samh-providers/managing-entities" TargetMode="External"/><Relationship Id="rId11" Type="http://schemas.openxmlformats.org/officeDocument/2006/relationships/customXml" Target="../customXml/item2.xml"/><Relationship Id="rId5" Type="http://schemas.openxmlformats.org/officeDocument/2006/relationships/hyperlink" Target="https://www.myflfamilies.com/services/substance-abuse-and-mental-health/samh-providers/FASAM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086370-D56F-4C5C-8F1B-5933C315DC69}"/>
</file>

<file path=customXml/itemProps2.xml><?xml version="1.0" encoding="utf-8"?>
<ds:datastoreItem xmlns:ds="http://schemas.openxmlformats.org/officeDocument/2006/customXml" ds:itemID="{C7A25E1A-B1ED-44CB-9C07-5108A1F18DE0}"/>
</file>

<file path=customXml/itemProps3.xml><?xml version="1.0" encoding="utf-8"?>
<ds:datastoreItem xmlns:ds="http://schemas.openxmlformats.org/officeDocument/2006/customXml" ds:itemID="{5124B5EE-BFB6-47A5-8A77-71E7AEF2967F}"/>
</file>

<file path=docProps/app.xml><?xml version="1.0" encoding="utf-8"?>
<Properties xmlns="http://schemas.openxmlformats.org/officeDocument/2006/extended-properties" xmlns:vt="http://schemas.openxmlformats.org/officeDocument/2006/docPropsVTypes">
  <Template>Normal</Template>
  <TotalTime>3</TotalTime>
  <Pages>14</Pages>
  <Words>5123</Words>
  <Characters>29202</Characters>
  <Application>Microsoft Office Word</Application>
  <DocSecurity>0</DocSecurity>
  <Lines>243</Lines>
  <Paragraphs>68</Paragraphs>
  <ScaleCrop>false</ScaleCrop>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2025-06-27T20:32:00Z</dcterms:created>
  <dcterms:modified xsi:type="dcterms:W3CDTF">2025-06-27T21:03:00Z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