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9E4CE26"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A62285">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5B528EBF" w14:textId="51FAE57B" w:rsidR="00BC66AE" w:rsidRDefault="00184AD4">
          <w:pPr>
            <w:pStyle w:val="TOC1"/>
            <w:rPr>
              <w:rFonts w:asciiTheme="minorHAnsi" w:eastAsiaTheme="minorEastAsia" w:hAnsiTheme="minorHAnsi" w:cstheme="minorBidi"/>
              <w:b w:val="0"/>
              <w:noProof/>
              <w:kern w:val="2"/>
              <w:sz w:val="22"/>
              <w:szCs w:val="2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188604145" w:history="1">
            <w:r w:rsidR="00BC66AE" w:rsidRPr="007121F1">
              <w:rPr>
                <w:rStyle w:val="Hyperlink"/>
                <w:noProof/>
              </w:rPr>
              <w:t>Section I - Certification</w:t>
            </w:r>
            <w:r w:rsidR="00BC66AE">
              <w:rPr>
                <w:noProof/>
                <w:webHidden/>
              </w:rPr>
              <w:tab/>
            </w:r>
            <w:r w:rsidR="00BC66AE">
              <w:rPr>
                <w:noProof/>
                <w:webHidden/>
              </w:rPr>
              <w:fldChar w:fldCharType="begin"/>
            </w:r>
            <w:r w:rsidR="00BC66AE">
              <w:rPr>
                <w:noProof/>
                <w:webHidden/>
              </w:rPr>
              <w:instrText xml:space="preserve"> PAGEREF _Toc188604145 \h </w:instrText>
            </w:r>
            <w:r w:rsidR="00BC66AE">
              <w:rPr>
                <w:noProof/>
                <w:webHidden/>
              </w:rPr>
            </w:r>
            <w:r w:rsidR="00BC66AE">
              <w:rPr>
                <w:noProof/>
                <w:webHidden/>
              </w:rPr>
              <w:fldChar w:fldCharType="separate"/>
            </w:r>
            <w:r w:rsidR="00BC66AE">
              <w:rPr>
                <w:noProof/>
                <w:webHidden/>
              </w:rPr>
              <w:t>3</w:t>
            </w:r>
            <w:r w:rsidR="00BC66AE">
              <w:rPr>
                <w:noProof/>
                <w:webHidden/>
              </w:rPr>
              <w:fldChar w:fldCharType="end"/>
            </w:r>
          </w:hyperlink>
        </w:p>
        <w:p w14:paraId="093B1154" w14:textId="40236D41" w:rsidR="00BC66AE" w:rsidRDefault="00000000">
          <w:pPr>
            <w:pStyle w:val="TOC1"/>
            <w:rPr>
              <w:rFonts w:asciiTheme="minorHAnsi" w:eastAsiaTheme="minorEastAsia" w:hAnsiTheme="minorHAnsi" w:cstheme="minorBidi"/>
              <w:b w:val="0"/>
              <w:noProof/>
              <w:kern w:val="2"/>
              <w:sz w:val="22"/>
              <w:szCs w:val="22"/>
              <w14:ligatures w14:val="standardContextual"/>
            </w:rPr>
          </w:pPr>
          <w:hyperlink w:anchor="_Toc188604146" w:history="1">
            <w:r w:rsidR="00BC66AE" w:rsidRPr="007121F1">
              <w:rPr>
                <w:rStyle w:val="Hyperlink"/>
                <w:noProof/>
              </w:rPr>
              <w:t>Section VIII – General Mental Health and Substance Abuse Services and Specific Federal and State Funded Projects</w:t>
            </w:r>
            <w:r w:rsidR="00BC66AE">
              <w:rPr>
                <w:noProof/>
                <w:webHidden/>
              </w:rPr>
              <w:tab/>
            </w:r>
            <w:r w:rsidR="00BC66AE">
              <w:rPr>
                <w:noProof/>
                <w:webHidden/>
              </w:rPr>
              <w:fldChar w:fldCharType="begin"/>
            </w:r>
            <w:r w:rsidR="00BC66AE">
              <w:rPr>
                <w:noProof/>
                <w:webHidden/>
              </w:rPr>
              <w:instrText xml:space="preserve"> PAGEREF _Toc188604146 \h </w:instrText>
            </w:r>
            <w:r w:rsidR="00BC66AE">
              <w:rPr>
                <w:noProof/>
                <w:webHidden/>
              </w:rPr>
            </w:r>
            <w:r w:rsidR="00BC66AE">
              <w:rPr>
                <w:noProof/>
                <w:webHidden/>
              </w:rPr>
              <w:fldChar w:fldCharType="separate"/>
            </w:r>
            <w:r w:rsidR="00BC66AE">
              <w:rPr>
                <w:noProof/>
                <w:webHidden/>
              </w:rPr>
              <w:t>4</w:t>
            </w:r>
            <w:r w:rsidR="00BC66AE">
              <w:rPr>
                <w:noProof/>
                <w:webHidden/>
              </w:rPr>
              <w:fldChar w:fldCharType="end"/>
            </w:r>
          </w:hyperlink>
        </w:p>
        <w:p w14:paraId="3A14721F" w14:textId="4B128FC3" w:rsidR="00BC66AE" w:rsidRDefault="00000000">
          <w:pPr>
            <w:pStyle w:val="TOC1"/>
            <w:rPr>
              <w:rFonts w:asciiTheme="minorHAnsi" w:eastAsiaTheme="minorEastAsia" w:hAnsiTheme="minorHAnsi" w:cstheme="minorBidi"/>
              <w:b w:val="0"/>
              <w:noProof/>
              <w:kern w:val="2"/>
              <w:sz w:val="22"/>
              <w:szCs w:val="22"/>
              <w14:ligatures w14:val="standardContextual"/>
            </w:rPr>
          </w:pPr>
          <w:hyperlink w:anchor="_Toc188604147" w:history="1">
            <w:r w:rsidR="00BC66AE" w:rsidRPr="007121F1">
              <w:rPr>
                <w:rStyle w:val="Hyperlink"/>
                <w:noProof/>
              </w:rPr>
              <w:t>Attachment II – Chart of Accounts for Accounting and Data Systems</w:t>
            </w:r>
            <w:r w:rsidR="00BC66AE">
              <w:rPr>
                <w:noProof/>
                <w:webHidden/>
              </w:rPr>
              <w:tab/>
            </w:r>
            <w:r w:rsidR="00BC66AE">
              <w:rPr>
                <w:noProof/>
                <w:webHidden/>
              </w:rPr>
              <w:fldChar w:fldCharType="begin"/>
            </w:r>
            <w:r w:rsidR="00BC66AE">
              <w:rPr>
                <w:noProof/>
                <w:webHidden/>
              </w:rPr>
              <w:instrText xml:space="preserve"> PAGEREF _Toc188604147 \h </w:instrText>
            </w:r>
            <w:r w:rsidR="00BC66AE">
              <w:rPr>
                <w:noProof/>
                <w:webHidden/>
              </w:rPr>
            </w:r>
            <w:r w:rsidR="00BC66AE">
              <w:rPr>
                <w:noProof/>
                <w:webHidden/>
              </w:rPr>
              <w:fldChar w:fldCharType="separate"/>
            </w:r>
            <w:r w:rsidR="00BC66AE">
              <w:rPr>
                <w:noProof/>
                <w:webHidden/>
              </w:rPr>
              <w:t>5</w:t>
            </w:r>
            <w:r w:rsidR="00BC66AE">
              <w:rPr>
                <w:noProof/>
                <w:webHidden/>
              </w:rPr>
              <w:fldChar w:fldCharType="end"/>
            </w:r>
          </w:hyperlink>
        </w:p>
        <w:p w14:paraId="48B19DFB" w14:textId="3D6AE85A"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88604145"/>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323A604D" w14:textId="4CCC9CD1" w:rsidR="00416958" w:rsidRPr="00D80D98" w:rsidRDefault="00416958" w:rsidP="00E97FF8">
      <w:pPr>
        <w:pStyle w:val="Heading1"/>
        <w:rPr>
          <w:rFonts w:ascii="Arial Narrow" w:hAnsi="Arial Narrow"/>
          <w:sz w:val="22"/>
          <w:szCs w:val="22"/>
        </w:rPr>
      </w:pPr>
      <w:bookmarkStart w:id="1" w:name="_Toc188604146"/>
      <w:r w:rsidRPr="00D80D98">
        <w:rPr>
          <w:rFonts w:ascii="Arial Narrow" w:hAnsi="Arial Narrow"/>
          <w:sz w:val="22"/>
          <w:szCs w:val="22"/>
        </w:rPr>
        <w:lastRenderedPageBreak/>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1"/>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7231AE35" w14:textId="57339511" w:rsidR="001370FE" w:rsidRDefault="001370FE" w:rsidP="00CD0CE1">
      <w:pPr>
        <w:rPr>
          <w:rFonts w:ascii="Arial Narrow" w:hAnsi="Arial Narrow"/>
          <w:i/>
          <w:color w:val="000080"/>
          <w:sz w:val="22"/>
          <w:szCs w:val="22"/>
          <w:highlight w:val="yellow"/>
        </w:rPr>
      </w:pPr>
    </w:p>
    <w:p w14:paraId="3D6D2BF0" w14:textId="77777777" w:rsidR="003975AC" w:rsidRPr="00262FF8" w:rsidRDefault="003975AC" w:rsidP="003975AC">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0EB8ACD1" w14:textId="77777777" w:rsidR="00DB1170" w:rsidRDefault="00DB1170" w:rsidP="00CD0CE1">
      <w:pPr>
        <w:rPr>
          <w:rFonts w:ascii="Arial Narrow" w:hAnsi="Arial Narrow"/>
          <w:i/>
          <w:color w:val="000080"/>
          <w:sz w:val="22"/>
          <w:szCs w:val="22"/>
          <w:highlight w:val="yellow"/>
        </w:rPr>
      </w:pPr>
    </w:p>
    <w:p w14:paraId="39E32EBB" w14:textId="0426E709" w:rsidR="002B59C0" w:rsidRDefault="002B59C0" w:rsidP="003975AC">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w:t>
      </w:r>
      <w:r w:rsidR="003975AC">
        <w:rPr>
          <w:rFonts w:ascii="Arial Narrow" w:hAnsi="Arial Narrow"/>
          <w:b/>
          <w:sz w:val="22"/>
          <w:szCs w:val="22"/>
          <w:u w:val="single"/>
        </w:rPr>
        <w:t>100</w:t>
      </w:r>
      <w:r w:rsidRPr="00262FF8">
        <w:rPr>
          <w:rFonts w:ascii="Arial Narrow" w:hAnsi="Arial Narrow"/>
          <w:b/>
          <w:sz w:val="22"/>
          <w:szCs w:val="22"/>
          <w:u w:val="single"/>
        </w:rPr>
        <w:t xml:space="preserve"> – </w:t>
      </w:r>
      <w:r w:rsidR="003975AC" w:rsidRPr="003975AC">
        <w:rPr>
          <w:rFonts w:ascii="Arial Narrow" w:hAnsi="Arial Narrow"/>
          <w:b/>
          <w:sz w:val="22"/>
          <w:szCs w:val="22"/>
          <w:u w:val="single"/>
        </w:rPr>
        <w:t>ME MH Forensic Residential Stepdown</w:t>
      </w:r>
      <w:r w:rsidR="003975AC" w:rsidRPr="003975AC">
        <w:rPr>
          <w:rFonts w:ascii="Arial Narrow" w:hAnsi="Arial Narrow"/>
          <w:bCs/>
          <w:sz w:val="22"/>
          <w:szCs w:val="22"/>
        </w:rPr>
        <w:t xml:space="preserve"> </w:t>
      </w:r>
      <w:r w:rsidR="00A22112">
        <w:rPr>
          <w:rFonts w:ascii="Arial Narrow" w:hAnsi="Arial Narrow"/>
          <w:bCs/>
          <w:sz w:val="22"/>
          <w:szCs w:val="22"/>
        </w:rPr>
        <w:t>-</w:t>
      </w:r>
      <w:r w:rsidR="003975AC" w:rsidRPr="003975AC">
        <w:rPr>
          <w:rFonts w:ascii="Arial Narrow" w:hAnsi="Arial Narrow"/>
          <w:bCs/>
          <w:sz w:val="22"/>
          <w:szCs w:val="22"/>
        </w:rPr>
        <w:t xml:space="preserve"> </w:t>
      </w:r>
      <w:r w:rsidR="003975AC" w:rsidRPr="003975AC">
        <w:rPr>
          <w:rFonts w:ascii="Arial Narrow" w:hAnsi="Arial Narrow"/>
          <w:sz w:val="22"/>
          <w:szCs w:val="22"/>
        </w:rPr>
        <w:t xml:space="preserve">This </w:t>
      </w:r>
      <w:r w:rsidR="00A22112">
        <w:rPr>
          <w:rFonts w:ascii="Arial Narrow" w:hAnsi="Arial Narrow"/>
          <w:sz w:val="22"/>
          <w:szCs w:val="22"/>
        </w:rPr>
        <w:t>cost pool</w:t>
      </w:r>
      <w:r w:rsidR="003975AC" w:rsidRPr="003975AC">
        <w:rPr>
          <w:rFonts w:ascii="Arial Narrow" w:hAnsi="Arial Narrow"/>
          <w:sz w:val="22"/>
          <w:szCs w:val="22"/>
        </w:rPr>
        <w:t xml:space="preserve"> captures allowable costs to fund The</w:t>
      </w:r>
      <w:r w:rsidR="00A22112">
        <w:rPr>
          <w:rFonts w:ascii="Arial Narrow" w:hAnsi="Arial Narrow"/>
          <w:sz w:val="22"/>
          <w:szCs w:val="22"/>
        </w:rPr>
        <w:t xml:space="preserve"> </w:t>
      </w:r>
      <w:r w:rsidR="003975AC" w:rsidRPr="003975AC">
        <w:rPr>
          <w:rFonts w:ascii="Arial Narrow" w:hAnsi="Arial Narrow"/>
          <w:sz w:val="22"/>
          <w:szCs w:val="22"/>
        </w:rPr>
        <w:t>Apalachee Center, Lifestream, and Gracepoint provide step-down and diversion services for individuals with serious</w:t>
      </w:r>
      <w:r w:rsidR="003975AC">
        <w:rPr>
          <w:rFonts w:ascii="Arial Narrow" w:hAnsi="Arial Narrow"/>
          <w:sz w:val="22"/>
          <w:szCs w:val="22"/>
        </w:rPr>
        <w:t xml:space="preserve"> </w:t>
      </w:r>
      <w:r w:rsidR="003975AC" w:rsidRPr="003975AC">
        <w:rPr>
          <w:rFonts w:ascii="Arial Narrow" w:hAnsi="Arial Narrow"/>
          <w:sz w:val="22"/>
          <w:szCs w:val="22"/>
        </w:rPr>
        <w:t>mental illness who are involved in the criminal justice</w:t>
      </w:r>
      <w:r w:rsidR="003975AC">
        <w:rPr>
          <w:rFonts w:ascii="Arial Narrow" w:hAnsi="Arial Narrow"/>
          <w:sz w:val="22"/>
          <w:szCs w:val="22"/>
        </w:rPr>
        <w:t xml:space="preserve"> </w:t>
      </w:r>
      <w:r w:rsidR="003975AC" w:rsidRPr="003975AC">
        <w:rPr>
          <w:rFonts w:ascii="Arial Narrow" w:hAnsi="Arial Narrow"/>
          <w:sz w:val="22"/>
          <w:szCs w:val="22"/>
        </w:rPr>
        <w:t>system. These programs provide a residential resource for</w:t>
      </w:r>
      <w:r w:rsidR="003975AC">
        <w:rPr>
          <w:rFonts w:ascii="Arial Narrow" w:hAnsi="Arial Narrow"/>
          <w:sz w:val="22"/>
          <w:szCs w:val="22"/>
        </w:rPr>
        <w:t xml:space="preserve"> </w:t>
      </w:r>
      <w:r w:rsidR="003975AC" w:rsidRPr="003975AC">
        <w:rPr>
          <w:rFonts w:ascii="Arial Narrow" w:hAnsi="Arial Narrow"/>
          <w:sz w:val="22"/>
          <w:szCs w:val="22"/>
        </w:rPr>
        <w:t>the diversion of seriously mentally ill individuals from</w:t>
      </w:r>
      <w:r w:rsidR="003975AC">
        <w:rPr>
          <w:rFonts w:ascii="Arial Narrow" w:hAnsi="Arial Narrow"/>
          <w:sz w:val="22"/>
          <w:szCs w:val="22"/>
        </w:rPr>
        <w:t xml:space="preserve"> </w:t>
      </w:r>
      <w:r w:rsidR="003975AC" w:rsidRPr="003975AC">
        <w:rPr>
          <w:rFonts w:ascii="Arial Narrow" w:hAnsi="Arial Narrow"/>
          <w:sz w:val="22"/>
          <w:szCs w:val="22"/>
        </w:rPr>
        <w:t>less appropriate and/or more expensive venues.</w:t>
      </w:r>
    </w:p>
    <w:p w14:paraId="1D70DE0C" w14:textId="77777777" w:rsidR="00DB1170" w:rsidRPr="00262FF8" w:rsidRDefault="00DB1170" w:rsidP="002B59C0">
      <w:pPr>
        <w:tabs>
          <w:tab w:val="center" w:pos="4320"/>
          <w:tab w:val="right" w:pos="8640"/>
        </w:tabs>
        <w:rPr>
          <w:rFonts w:ascii="Arial Narrow" w:hAnsi="Arial Narrow"/>
          <w:sz w:val="22"/>
          <w:szCs w:val="22"/>
        </w:rPr>
      </w:pPr>
    </w:p>
    <w:p w14:paraId="5B849A91"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92A9654"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1D5CC56" w14:textId="77777777" w:rsidR="002B59C0" w:rsidRPr="00262FF8"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28868A8" w14:textId="77777777" w:rsidR="002B59C0" w:rsidRDefault="002B59C0" w:rsidP="00CD0CE1">
      <w:pPr>
        <w:rPr>
          <w:rFonts w:ascii="Arial Narrow" w:hAnsi="Arial Narrow"/>
          <w:i/>
          <w:color w:val="000080"/>
          <w:sz w:val="22"/>
          <w:szCs w:val="22"/>
          <w:highlight w:val="yellow"/>
        </w:rPr>
      </w:pPr>
    </w:p>
    <w:p w14:paraId="5445FCC8" w14:textId="77777777" w:rsidR="00DB1170" w:rsidRDefault="00DB1170" w:rsidP="00CD0CE1">
      <w:pPr>
        <w:rPr>
          <w:rFonts w:ascii="Arial Narrow" w:hAnsi="Arial Narrow"/>
          <w:i/>
          <w:color w:val="000080"/>
          <w:sz w:val="22"/>
          <w:szCs w:val="22"/>
          <w:highlight w:val="yellow"/>
        </w:rPr>
      </w:pPr>
    </w:p>
    <w:p w14:paraId="4B28D8D2" w14:textId="77777777" w:rsidR="003975AC" w:rsidRPr="00262FF8" w:rsidRDefault="003975AC" w:rsidP="003975AC">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Targeted Services Funding</w:t>
      </w:r>
    </w:p>
    <w:p w14:paraId="729166B5" w14:textId="77777777" w:rsidR="00DB1170" w:rsidRPr="00262FF8" w:rsidRDefault="00DB1170" w:rsidP="006D2212">
      <w:pPr>
        <w:tabs>
          <w:tab w:val="center" w:pos="4320"/>
          <w:tab w:val="right" w:pos="8640"/>
        </w:tabs>
        <w:rPr>
          <w:rFonts w:ascii="Arial Narrow" w:hAnsi="Arial Narrow"/>
          <w:b/>
          <w:sz w:val="22"/>
          <w:szCs w:val="22"/>
          <w:u w:val="single"/>
        </w:rPr>
      </w:pPr>
    </w:p>
    <w:p w14:paraId="29B850AB" w14:textId="6F3BC819" w:rsidR="00B02DA0" w:rsidRPr="00B02DA0" w:rsidRDefault="008248E3" w:rsidP="002B59C0">
      <w:pPr>
        <w:tabs>
          <w:tab w:val="center" w:pos="4320"/>
          <w:tab w:val="right" w:pos="8640"/>
        </w:tabs>
        <w:rPr>
          <w:rFonts w:ascii="Arial Narrow" w:hAnsi="Arial Narrow" w:cs="Arial"/>
          <w:color w:val="000000"/>
          <w:sz w:val="22"/>
          <w:szCs w:val="22"/>
          <w:shd w:val="clear" w:color="auto" w:fill="FFFFFF"/>
        </w:rPr>
      </w:pPr>
      <w:r>
        <w:rPr>
          <w:rFonts w:ascii="Arial Narrow" w:hAnsi="Arial Narrow"/>
          <w:b/>
          <w:sz w:val="22"/>
          <w:szCs w:val="22"/>
          <w:u w:val="single"/>
        </w:rPr>
        <w:t xml:space="preserve">MSORH - </w:t>
      </w:r>
      <w:r w:rsidR="003975AC" w:rsidRPr="003975AC">
        <w:rPr>
          <w:rFonts w:ascii="Arial Narrow" w:hAnsi="Arial Narrow"/>
          <w:b/>
          <w:sz w:val="22"/>
          <w:szCs w:val="22"/>
          <w:u w:val="single"/>
        </w:rPr>
        <w:t>ME Opioid TF Recovery Housing</w:t>
      </w:r>
      <w:r w:rsidR="00A22112">
        <w:rPr>
          <w:rFonts w:ascii="Arial Narrow" w:hAnsi="Arial Narrow"/>
          <w:sz w:val="22"/>
          <w:szCs w:val="22"/>
        </w:rPr>
        <w:t xml:space="preserve"> - </w:t>
      </w:r>
      <w:r w:rsidR="00B02DA0" w:rsidRPr="00262FF8">
        <w:rPr>
          <w:rFonts w:ascii="Arial Narrow" w:hAnsi="Arial Narrow"/>
          <w:sz w:val="22"/>
          <w:szCs w:val="22"/>
        </w:rPr>
        <w:t>This cost poo</w:t>
      </w:r>
      <w:r w:rsidR="00B02DA0">
        <w:rPr>
          <w:rFonts w:ascii="Arial Narrow" w:hAnsi="Arial Narrow"/>
          <w:sz w:val="22"/>
          <w:szCs w:val="22"/>
        </w:rPr>
        <w:t xml:space="preserve">l </w:t>
      </w:r>
      <w:r w:rsidR="00B02DA0" w:rsidRPr="00B02DA0">
        <w:rPr>
          <w:rFonts w:ascii="Arial Narrow" w:hAnsi="Arial Narrow" w:cs="Arial"/>
          <w:color w:val="000000"/>
          <w:sz w:val="22"/>
          <w:szCs w:val="22"/>
          <w:shd w:val="clear" w:color="auto" w:fill="FFFFFF"/>
        </w:rPr>
        <w:t>capture</w:t>
      </w:r>
      <w:r w:rsidR="00B02DA0">
        <w:rPr>
          <w:rFonts w:ascii="Arial Narrow" w:hAnsi="Arial Narrow" w:cs="Arial"/>
          <w:color w:val="000000"/>
          <w:sz w:val="22"/>
          <w:szCs w:val="22"/>
          <w:shd w:val="clear" w:color="auto" w:fill="FFFFFF"/>
        </w:rPr>
        <w:t>s</w:t>
      </w:r>
      <w:r w:rsidR="00B02DA0" w:rsidRPr="00B02DA0">
        <w:rPr>
          <w:rFonts w:ascii="Arial Narrow" w:hAnsi="Arial Narrow" w:cs="Arial"/>
          <w:color w:val="000000"/>
          <w:sz w:val="22"/>
          <w:szCs w:val="22"/>
          <w:shd w:val="clear" w:color="auto" w:fill="FFFFFF"/>
        </w:rPr>
        <w:t xml:space="preserve"> allowable costs </w:t>
      </w:r>
      <w:r w:rsidR="00A22112" w:rsidRPr="00A22112">
        <w:rPr>
          <w:rFonts w:ascii="Arial Narrow" w:hAnsi="Arial Narrow" w:cs="Arial"/>
          <w:color w:val="000000"/>
          <w:sz w:val="22"/>
          <w:szCs w:val="22"/>
          <w:shd w:val="clear" w:color="auto" w:fill="FFFFFF"/>
        </w:rPr>
        <w:t>of recovery</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housing programs and housing supports. it will assist</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adults who are homeless or at risk of homelessness, with a</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substance use disorder, prioritizing individuals with an</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opioid use disorder, either active or in remission.</w:t>
      </w:r>
      <w:r w:rsidR="00A22112">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Up to five percent of the total grant award may be used for</w:t>
      </w:r>
      <w:r w:rsidR="00B02DA0" w:rsidRP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 xml:space="preserve">data collection and reporting. </w:t>
      </w:r>
    </w:p>
    <w:p w14:paraId="2560A64F" w14:textId="77777777" w:rsidR="00B02DA0" w:rsidRPr="00262FF8" w:rsidRDefault="00B02DA0" w:rsidP="002B59C0">
      <w:pPr>
        <w:tabs>
          <w:tab w:val="center" w:pos="4320"/>
          <w:tab w:val="right" w:pos="8640"/>
        </w:tabs>
        <w:rPr>
          <w:rFonts w:ascii="Arial Narrow" w:hAnsi="Arial Narrow"/>
          <w:sz w:val="22"/>
          <w:szCs w:val="22"/>
        </w:rPr>
      </w:pPr>
    </w:p>
    <w:p w14:paraId="426DC0B4"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786824D"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E416D55"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B59C0" w:rsidRPr="0024214D" w:rsidRDefault="002B59C0" w:rsidP="00A04918">
      <w:pPr>
        <w:jc w:val="both"/>
        <w:rPr>
          <w:rFonts w:ascii="Arial Narrow" w:hAnsi="Arial Narrow"/>
          <w:b/>
          <w:szCs w:val="20"/>
        </w:rPr>
        <w:sectPr w:rsidR="002B59C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88604147"/>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44FD" w14:textId="77777777" w:rsidR="00A46E75" w:rsidRDefault="00A46E75">
      <w:r>
        <w:separator/>
      </w:r>
    </w:p>
  </w:endnote>
  <w:endnote w:type="continuationSeparator" w:id="0">
    <w:p w14:paraId="27D015BB" w14:textId="77777777" w:rsidR="00A46E75" w:rsidRDefault="00A46E75">
      <w:r>
        <w:continuationSeparator/>
      </w:r>
    </w:p>
  </w:endnote>
  <w:endnote w:type="continuationNotice" w:id="1">
    <w:p w14:paraId="130E0AFF" w14:textId="77777777" w:rsidR="00A46E75" w:rsidRDefault="00A46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00F1BBD0"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BC66AE">
      <w:rPr>
        <w:rFonts w:ascii="Arial Narrow" w:hAnsi="Arial Narrow"/>
        <w:sz w:val="22"/>
        <w:szCs w:val="22"/>
      </w:rPr>
      <w:t>January 24, 2025</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C950" w14:textId="77777777" w:rsidR="00A46E75" w:rsidRDefault="00A46E75">
      <w:r>
        <w:separator/>
      </w:r>
    </w:p>
  </w:footnote>
  <w:footnote w:type="continuationSeparator" w:id="0">
    <w:p w14:paraId="3A76C067" w14:textId="77777777" w:rsidR="00A46E75" w:rsidRDefault="00A46E75">
      <w:r>
        <w:continuationSeparator/>
      </w:r>
    </w:p>
  </w:footnote>
  <w:footnote w:type="continuationNotice" w:id="1">
    <w:p w14:paraId="77449C45" w14:textId="77777777" w:rsidR="00A46E75" w:rsidRDefault="00A46E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5D50"/>
    <w:multiLevelType w:val="hybridMultilevel"/>
    <w:tmpl w:val="25D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64DF"/>
    <w:multiLevelType w:val="hybridMultilevel"/>
    <w:tmpl w:val="370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C0D18"/>
    <w:multiLevelType w:val="hybridMultilevel"/>
    <w:tmpl w:val="E3A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8518D"/>
    <w:multiLevelType w:val="hybridMultilevel"/>
    <w:tmpl w:val="C35C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8406">
    <w:abstractNumId w:val="0"/>
  </w:num>
  <w:num w:numId="2" w16cid:durableId="1168180768">
    <w:abstractNumId w:val="2"/>
  </w:num>
  <w:num w:numId="3" w16cid:durableId="1481342515">
    <w:abstractNumId w:val="4"/>
  </w:num>
  <w:num w:numId="4" w16cid:durableId="1265529189">
    <w:abstractNumId w:val="1"/>
  </w:num>
  <w:num w:numId="5" w16cid:durableId="1250506483">
    <w:abstractNumId w:val="3"/>
  </w:num>
  <w:num w:numId="6" w16cid:durableId="38672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5574"/>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9C0"/>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157"/>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5AC"/>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2C63"/>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382"/>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2FEE"/>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48E3"/>
    <w:rsid w:val="008255D5"/>
    <w:rsid w:val="00827039"/>
    <w:rsid w:val="0082714F"/>
    <w:rsid w:val="00827417"/>
    <w:rsid w:val="00831943"/>
    <w:rsid w:val="00831D3E"/>
    <w:rsid w:val="00834313"/>
    <w:rsid w:val="00834EE1"/>
    <w:rsid w:val="00835D14"/>
    <w:rsid w:val="00836ABA"/>
    <w:rsid w:val="00837BFA"/>
    <w:rsid w:val="008414F1"/>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27F56"/>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9701F"/>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2112"/>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6E75"/>
    <w:rsid w:val="00A47CC9"/>
    <w:rsid w:val="00A5107E"/>
    <w:rsid w:val="00A51221"/>
    <w:rsid w:val="00A51A4B"/>
    <w:rsid w:val="00A5259C"/>
    <w:rsid w:val="00A52926"/>
    <w:rsid w:val="00A53042"/>
    <w:rsid w:val="00A548F6"/>
    <w:rsid w:val="00A61E26"/>
    <w:rsid w:val="00A62285"/>
    <w:rsid w:val="00A6502F"/>
    <w:rsid w:val="00A66271"/>
    <w:rsid w:val="00A67FB2"/>
    <w:rsid w:val="00A72CE1"/>
    <w:rsid w:val="00A72E48"/>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DA0"/>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6AE"/>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D62"/>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170"/>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1C5"/>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1EDE"/>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6C19"/>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9DA3E962-3363-42F0-8CBD-043AB92C6084}"/>
</file>

<file path=customXml/itemProps3.xml><?xml version="1.0" encoding="utf-8"?>
<ds:datastoreItem xmlns:ds="http://schemas.openxmlformats.org/officeDocument/2006/customXml" ds:itemID="{07BB8C1C-4919-4A1A-ABCF-D44F774880BE}"/>
</file>

<file path=customXml/itemProps4.xml><?xml version="1.0" encoding="utf-8"?>
<ds:datastoreItem xmlns:ds="http://schemas.openxmlformats.org/officeDocument/2006/customXml" ds:itemID="{665803F7-0C0C-435E-9C50-D454278D824A}"/>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5389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3</dc:title>
  <dc:subject>Minimum Service Requirements</dc:subject>
  <dc:creator/>
  <cp:lastModifiedBy/>
  <cp:revision>1</cp:revision>
  <cp:lastPrinted>2009-03-11T17:40:00Z</cp:lastPrinted>
  <dcterms:created xsi:type="dcterms:W3CDTF">2025-01-24T14:05:00Z</dcterms:created>
  <dcterms:modified xsi:type="dcterms:W3CDTF">2025-06-12T15:16:00Z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