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984C" w14:textId="77777777" w:rsidR="0063269C" w:rsidRDefault="0063269C" w:rsidP="000A209C">
      <w:pPr>
        <w:spacing w:after="0" w:line="240" w:lineRule="auto"/>
      </w:pPr>
      <w:r>
        <w:separator/>
      </w:r>
    </w:p>
  </w:endnote>
  <w:endnote w:type="continuationSeparator" w:id="0">
    <w:p w14:paraId="3B5F3751" w14:textId="77777777" w:rsidR="0063269C" w:rsidRDefault="0063269C"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953B" w14:textId="77777777" w:rsidR="0063269C" w:rsidRDefault="0063269C" w:rsidP="000A209C">
      <w:pPr>
        <w:spacing w:after="0" w:line="240" w:lineRule="auto"/>
      </w:pPr>
      <w:r>
        <w:separator/>
      </w:r>
    </w:p>
  </w:footnote>
  <w:footnote w:type="continuationSeparator" w:id="0">
    <w:p w14:paraId="478FE3C3" w14:textId="77777777" w:rsidR="0063269C" w:rsidRDefault="0063269C"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948460251">
    <w:abstractNumId w:val="30"/>
  </w:num>
  <w:num w:numId="2" w16cid:durableId="883714346">
    <w:abstractNumId w:val="27"/>
  </w:num>
  <w:num w:numId="3" w16cid:durableId="518158964">
    <w:abstractNumId w:val="13"/>
  </w:num>
  <w:num w:numId="4" w16cid:durableId="783352672">
    <w:abstractNumId w:val="3"/>
  </w:num>
  <w:num w:numId="5" w16cid:durableId="1010332458">
    <w:abstractNumId w:val="16"/>
  </w:num>
  <w:num w:numId="6" w16cid:durableId="1724788015">
    <w:abstractNumId w:val="22"/>
  </w:num>
  <w:num w:numId="7" w16cid:durableId="70735912">
    <w:abstractNumId w:val="29"/>
  </w:num>
  <w:num w:numId="8" w16cid:durableId="192769279">
    <w:abstractNumId w:val="25"/>
  </w:num>
  <w:num w:numId="9" w16cid:durableId="518083955">
    <w:abstractNumId w:val="7"/>
  </w:num>
  <w:num w:numId="10" w16cid:durableId="436875035">
    <w:abstractNumId w:val="23"/>
  </w:num>
  <w:num w:numId="11" w16cid:durableId="744396">
    <w:abstractNumId w:val="32"/>
  </w:num>
  <w:num w:numId="12" w16cid:durableId="298807578">
    <w:abstractNumId w:val="15"/>
  </w:num>
  <w:num w:numId="13" w16cid:durableId="1486161827">
    <w:abstractNumId w:val="26"/>
  </w:num>
  <w:num w:numId="14" w16cid:durableId="1630210810">
    <w:abstractNumId w:val="14"/>
  </w:num>
  <w:num w:numId="15" w16cid:durableId="34504110">
    <w:abstractNumId w:val="1"/>
  </w:num>
  <w:num w:numId="16" w16cid:durableId="1633251453">
    <w:abstractNumId w:val="19"/>
  </w:num>
  <w:num w:numId="17" w16cid:durableId="1875145736">
    <w:abstractNumId w:val="20"/>
  </w:num>
  <w:num w:numId="18" w16cid:durableId="154928550">
    <w:abstractNumId w:val="9"/>
  </w:num>
  <w:num w:numId="19" w16cid:durableId="2098165892">
    <w:abstractNumId w:val="0"/>
  </w:num>
  <w:num w:numId="20" w16cid:durableId="958413717">
    <w:abstractNumId w:val="28"/>
  </w:num>
  <w:num w:numId="21" w16cid:durableId="869337897">
    <w:abstractNumId w:val="8"/>
  </w:num>
  <w:num w:numId="22" w16cid:durableId="807894471">
    <w:abstractNumId w:val="21"/>
  </w:num>
  <w:num w:numId="23" w16cid:durableId="1683510980">
    <w:abstractNumId w:val="17"/>
  </w:num>
  <w:num w:numId="24" w16cid:durableId="1164736649">
    <w:abstractNumId w:val="5"/>
  </w:num>
  <w:num w:numId="25" w16cid:durableId="1882858384">
    <w:abstractNumId w:val="31"/>
  </w:num>
  <w:num w:numId="26" w16cid:durableId="320500800">
    <w:abstractNumId w:val="24"/>
  </w:num>
  <w:num w:numId="27" w16cid:durableId="1576816229">
    <w:abstractNumId w:val="4"/>
  </w:num>
  <w:num w:numId="28" w16cid:durableId="961544452">
    <w:abstractNumId w:val="18"/>
  </w:num>
  <w:num w:numId="29" w16cid:durableId="1277636510">
    <w:abstractNumId w:val="12"/>
  </w:num>
  <w:num w:numId="30" w16cid:durableId="1696806938">
    <w:abstractNumId w:val="11"/>
  </w:num>
  <w:num w:numId="31" w16cid:durableId="146702279">
    <w:abstractNumId w:val="2"/>
  </w:num>
  <w:num w:numId="32" w16cid:durableId="509875923">
    <w:abstractNumId w:val="10"/>
  </w:num>
  <w:num w:numId="33" w16cid:durableId="1193609803">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5101"/>
    <w:rsid w:val="00145AD3"/>
    <w:rsid w:val="00153F57"/>
    <w:rsid w:val="00171E8C"/>
    <w:rsid w:val="00172A0C"/>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64329"/>
    <w:rsid w:val="0039338B"/>
    <w:rsid w:val="003952D8"/>
    <w:rsid w:val="003A7725"/>
    <w:rsid w:val="003B0DD8"/>
    <w:rsid w:val="003B1F52"/>
    <w:rsid w:val="003D7BE2"/>
    <w:rsid w:val="003E5733"/>
    <w:rsid w:val="004200E0"/>
    <w:rsid w:val="00430568"/>
    <w:rsid w:val="004774A3"/>
    <w:rsid w:val="00497511"/>
    <w:rsid w:val="004A28F7"/>
    <w:rsid w:val="004B4353"/>
    <w:rsid w:val="004F7EF0"/>
    <w:rsid w:val="00534D92"/>
    <w:rsid w:val="005421A0"/>
    <w:rsid w:val="005827AE"/>
    <w:rsid w:val="005B7CEC"/>
    <w:rsid w:val="005C690B"/>
    <w:rsid w:val="005E23B6"/>
    <w:rsid w:val="005E5C67"/>
    <w:rsid w:val="0061644D"/>
    <w:rsid w:val="0063269C"/>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6EE7"/>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5247A"/>
    <w:rsid w:val="00C72713"/>
    <w:rsid w:val="00C83827"/>
    <w:rsid w:val="00C927CF"/>
    <w:rsid w:val="00C93374"/>
    <w:rsid w:val="00CA2966"/>
    <w:rsid w:val="00CD0392"/>
    <w:rsid w:val="00CD1DA5"/>
    <w:rsid w:val="00CE5866"/>
    <w:rsid w:val="00D2405A"/>
    <w:rsid w:val="00D26207"/>
    <w:rsid w:val="00D3512F"/>
    <w:rsid w:val="00D643DC"/>
    <w:rsid w:val="00D91AB8"/>
    <w:rsid w:val="00DA2EAA"/>
    <w:rsid w:val="00DA7E6E"/>
    <w:rsid w:val="00DB79D6"/>
    <w:rsid w:val="00DE1A53"/>
    <w:rsid w:val="00E00E4A"/>
    <w:rsid w:val="00E01E3F"/>
    <w:rsid w:val="00E16A20"/>
    <w:rsid w:val="00E2036F"/>
    <w:rsid w:val="00E37B35"/>
    <w:rsid w:val="00E81610"/>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B6C5C3-76E7-4104-B69E-825EC62B5A15}"/>
</file>

<file path=customXml/itemProps2.xml><?xml version="1.0" encoding="utf-8"?>
<ds:datastoreItem xmlns:ds="http://schemas.openxmlformats.org/officeDocument/2006/customXml" ds:itemID="{FD7A8F4D-9A14-4AC3-8ACD-D2453D966AB5}"/>
</file>

<file path=customXml/itemProps3.xml><?xml version="1.0" encoding="utf-8"?>
<ds:datastoreItem xmlns:ds="http://schemas.openxmlformats.org/officeDocument/2006/customXml" ds:itemID="{ED98E932-73CD-4F4E-A3FA-21BC68EC74EF}"/>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4 -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