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D093" w14:textId="77777777" w:rsidR="0012021A" w:rsidRPr="0012021A" w:rsidRDefault="0012021A" w:rsidP="0012021A">
      <w:pPr>
        <w:spacing w:after="160" w:line="259" w:lineRule="auto"/>
        <w:jc w:val="center"/>
        <w:rPr>
          <w:rFonts w:asciiTheme="minorHAnsi" w:eastAsiaTheme="minorHAnsi" w:hAnsiTheme="minorHAnsi" w:cstheme="minorBidi"/>
          <w:b/>
          <w:bCs/>
          <w:sz w:val="16"/>
          <w:szCs w:val="16"/>
        </w:rPr>
      </w:pPr>
    </w:p>
    <w:p w14:paraId="26CB080F" w14:textId="627D7217" w:rsidR="0012021A" w:rsidRPr="0012021A" w:rsidRDefault="0012021A" w:rsidP="0012021A">
      <w:pPr>
        <w:spacing w:after="160" w:line="259" w:lineRule="auto"/>
        <w:jc w:val="center"/>
        <w:rPr>
          <w:rFonts w:asciiTheme="minorHAnsi" w:eastAsiaTheme="minorHAnsi" w:hAnsiTheme="minorHAnsi" w:cstheme="minorBidi"/>
          <w:b/>
          <w:bCs/>
          <w:sz w:val="28"/>
          <w:szCs w:val="28"/>
        </w:rPr>
      </w:pPr>
      <w:r w:rsidRPr="0012021A">
        <w:rPr>
          <w:rFonts w:asciiTheme="minorHAnsi" w:eastAsiaTheme="minorHAnsi" w:hAnsiTheme="minorHAnsi" w:cstheme="minorBidi"/>
          <w:b/>
          <w:bCs/>
          <w:sz w:val="28"/>
          <w:szCs w:val="28"/>
        </w:rPr>
        <w:t>Certified Community Behavioral Health Clinic (CCBHC) Update</w:t>
      </w:r>
    </w:p>
    <w:p w14:paraId="5600F034" w14:textId="0CE99A72" w:rsidR="0012021A" w:rsidRPr="0012021A" w:rsidRDefault="0012021A" w:rsidP="0012021A">
      <w:pPr>
        <w:spacing w:after="160" w:line="259" w:lineRule="auto"/>
        <w:rPr>
          <w:rFonts w:asciiTheme="minorHAnsi" w:eastAsiaTheme="minorHAnsi" w:hAnsiTheme="minorHAnsi" w:cstheme="minorBidi"/>
          <w:b/>
          <w:bCs/>
          <w:sz w:val="24"/>
          <w:szCs w:val="24"/>
        </w:rPr>
      </w:pPr>
      <w:r w:rsidRPr="0012021A">
        <w:rPr>
          <w:rFonts w:asciiTheme="minorHAnsi" w:eastAsiaTheme="minorHAnsi" w:hAnsiTheme="minorHAnsi" w:cstheme="minorBidi"/>
          <w:b/>
          <w:bCs/>
          <w:sz w:val="24"/>
          <w:szCs w:val="24"/>
        </w:rPr>
        <w:t xml:space="preserve">Florida CCBHC Data </w:t>
      </w:r>
    </w:p>
    <w:p w14:paraId="7D0BE30A" w14:textId="0927EAE8" w:rsidR="0012021A" w:rsidRDefault="0012021A" w:rsidP="001357B7">
      <w:pPr>
        <w:numPr>
          <w:ilvl w:val="0"/>
          <w:numId w:val="14"/>
        </w:numPr>
        <w:spacing w:after="160" w:line="259" w:lineRule="auto"/>
        <w:ind w:left="360"/>
        <w:contextualSpacing/>
        <w:rPr>
          <w:rFonts w:asciiTheme="minorHAnsi" w:eastAsiaTheme="minorHAnsi" w:hAnsiTheme="minorHAnsi" w:cstheme="minorBidi"/>
          <w:sz w:val="24"/>
          <w:szCs w:val="24"/>
        </w:rPr>
      </w:pPr>
      <w:bookmarkStart w:id="0" w:name="_Hlk131162997"/>
      <w:r w:rsidRPr="0012021A">
        <w:rPr>
          <w:rFonts w:asciiTheme="minorHAnsi" w:eastAsiaTheme="minorHAnsi" w:hAnsiTheme="minorHAnsi" w:cstheme="minorBidi"/>
          <w:sz w:val="24"/>
          <w:szCs w:val="24"/>
        </w:rPr>
        <w:t>National Outcome Measures Data</w:t>
      </w:r>
      <w:bookmarkEnd w:id="0"/>
      <w:r w:rsidRPr="0012021A">
        <w:rPr>
          <w:rFonts w:asciiTheme="minorHAnsi" w:eastAsiaTheme="minorHAnsi" w:hAnsiTheme="minorHAnsi" w:cstheme="minorBidi"/>
          <w:sz w:val="24"/>
          <w:szCs w:val="24"/>
        </w:rPr>
        <w:t xml:space="preserve"> required from all CCBHC grantees</w:t>
      </w:r>
      <w:r w:rsidR="00A0069B">
        <w:rPr>
          <w:rFonts w:asciiTheme="minorHAnsi" w:eastAsiaTheme="minorHAnsi" w:hAnsiTheme="minorHAnsi" w:cstheme="minorBidi"/>
          <w:sz w:val="24"/>
          <w:szCs w:val="24"/>
        </w:rPr>
        <w:t xml:space="preserve"> </w:t>
      </w:r>
      <w:r w:rsidR="00A0069B" w:rsidRPr="00A0069B">
        <w:rPr>
          <w:rFonts w:asciiTheme="minorHAnsi" w:eastAsiaTheme="minorHAnsi" w:hAnsiTheme="minorHAnsi" w:cstheme="minorBidi"/>
          <w:sz w:val="24"/>
          <w:szCs w:val="24"/>
        </w:rPr>
        <w:t>as of November 2022</w:t>
      </w:r>
      <w:r w:rsidR="00A0069B">
        <w:rPr>
          <w:rFonts w:asciiTheme="minorHAnsi" w:eastAsiaTheme="minorHAnsi" w:hAnsiTheme="minorHAnsi" w:cstheme="minorBidi"/>
          <w:sz w:val="24"/>
          <w:szCs w:val="24"/>
        </w:rPr>
        <w:t>.</w:t>
      </w:r>
    </w:p>
    <w:p w14:paraId="7134705C" w14:textId="77777777" w:rsidR="0012021A" w:rsidRPr="0012021A" w:rsidRDefault="0012021A" w:rsidP="0012021A">
      <w:pPr>
        <w:spacing w:after="160" w:line="259" w:lineRule="auto"/>
        <w:ind w:left="720"/>
        <w:contextualSpacing/>
        <w:rPr>
          <w:rFonts w:asciiTheme="minorHAnsi" w:eastAsiaTheme="minorHAnsi" w:hAnsiTheme="minorHAnsi" w:cstheme="minorBidi"/>
          <w:sz w:val="16"/>
          <w:szCs w:val="16"/>
        </w:rPr>
      </w:pPr>
    </w:p>
    <w:p w14:paraId="77627FFC" w14:textId="1C595570" w:rsidR="0012021A" w:rsidRDefault="00A0069B" w:rsidP="00A0069B">
      <w:pPr>
        <w:rPr>
          <w:noProof/>
        </w:rPr>
      </w:pPr>
      <w:r>
        <w:rPr>
          <w:noProof/>
        </w:rPr>
        <w:drawing>
          <wp:inline distT="0" distB="0" distL="0" distR="0" wp14:anchorId="2A2F6F4C" wp14:editId="11CA89CC">
            <wp:extent cx="5943600" cy="3009900"/>
            <wp:effectExtent l="0" t="0" r="0" b="0"/>
            <wp:docPr id="4" name="Chart 4">
              <a:extLst xmlns:a="http://schemas.openxmlformats.org/drawingml/2006/main">
                <a:ext uri="{FF2B5EF4-FFF2-40B4-BE49-F238E27FC236}">
                  <a16:creationId xmlns:a16="http://schemas.microsoft.com/office/drawing/2014/main" id="{5D1C44E0-318D-496A-B8D6-121728BA8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C9B0F4" w14:textId="6E989C4B" w:rsidR="0012021A" w:rsidRPr="001357B7" w:rsidRDefault="0012021A" w:rsidP="001357B7">
      <w:pPr>
        <w:numPr>
          <w:ilvl w:val="2"/>
          <w:numId w:val="15"/>
        </w:numPr>
        <w:spacing w:after="160" w:line="259" w:lineRule="auto"/>
        <w:ind w:left="360"/>
        <w:contextualSpacing/>
        <w:rPr>
          <w:rFonts w:asciiTheme="minorHAnsi" w:eastAsiaTheme="minorHAnsi" w:hAnsiTheme="minorHAnsi" w:cstheme="minorBidi"/>
        </w:rPr>
      </w:pPr>
      <w:r w:rsidRPr="00A0069B">
        <w:rPr>
          <w:rFonts w:asciiTheme="minorHAnsi" w:eastAsiaTheme="minorHAnsi" w:hAnsiTheme="minorHAnsi" w:cstheme="minorBidi"/>
          <w:sz w:val="24"/>
          <w:szCs w:val="24"/>
        </w:rPr>
        <w:t xml:space="preserve">Additional </w:t>
      </w:r>
      <w:r w:rsidR="00A0069B" w:rsidRPr="00A0069B">
        <w:rPr>
          <w:rFonts w:asciiTheme="minorHAnsi" w:eastAsiaTheme="minorHAnsi" w:hAnsiTheme="minorHAnsi" w:cstheme="minorBidi"/>
          <w:sz w:val="24"/>
          <w:szCs w:val="24"/>
        </w:rPr>
        <w:t xml:space="preserve">National Outcome Measures Data </w:t>
      </w:r>
      <w:r w:rsidRPr="00A0069B">
        <w:rPr>
          <w:rFonts w:asciiTheme="minorHAnsi" w:eastAsiaTheme="minorHAnsi" w:hAnsiTheme="minorHAnsi" w:cstheme="minorBidi"/>
          <w:sz w:val="24"/>
          <w:szCs w:val="24"/>
        </w:rPr>
        <w:t>reported by a subset of grantees</w:t>
      </w:r>
      <w:r w:rsidR="00A0069B">
        <w:rPr>
          <w:rFonts w:asciiTheme="minorHAnsi" w:eastAsiaTheme="minorHAnsi" w:hAnsiTheme="minorHAnsi" w:cstheme="minorBidi"/>
          <w:sz w:val="24"/>
          <w:szCs w:val="24"/>
        </w:rPr>
        <w:t xml:space="preserve"> </w:t>
      </w:r>
      <w:r w:rsidR="00A0069B" w:rsidRPr="00A0069B">
        <w:rPr>
          <w:rFonts w:asciiTheme="minorHAnsi" w:eastAsiaTheme="minorHAnsi" w:hAnsiTheme="minorHAnsi" w:cstheme="minorBidi"/>
          <w:sz w:val="24"/>
          <w:szCs w:val="24"/>
        </w:rPr>
        <w:t>as of November 2022</w:t>
      </w:r>
      <w:r w:rsidR="00A0069B">
        <w:rPr>
          <w:rFonts w:asciiTheme="minorHAnsi" w:eastAsiaTheme="minorHAnsi" w:hAnsiTheme="minorHAnsi" w:cstheme="minorBidi"/>
          <w:sz w:val="24"/>
          <w:szCs w:val="24"/>
        </w:rPr>
        <w:t xml:space="preserve"> from baseline to 6 months in CCBHC services.</w:t>
      </w:r>
    </w:p>
    <w:p w14:paraId="6FB0E254" w14:textId="77777777" w:rsidR="001357B7" w:rsidRPr="001357B7" w:rsidRDefault="001357B7" w:rsidP="001357B7">
      <w:pPr>
        <w:spacing w:after="160" w:line="259" w:lineRule="auto"/>
        <w:ind w:left="990" w:hanging="270"/>
        <w:contextualSpacing/>
        <w:rPr>
          <w:rFonts w:asciiTheme="minorHAnsi" w:eastAsiaTheme="minorHAnsi" w:hAnsiTheme="minorHAnsi" w:cstheme="minorBidi"/>
          <w:sz w:val="10"/>
          <w:szCs w:val="10"/>
        </w:rPr>
      </w:pPr>
    </w:p>
    <w:p w14:paraId="065D1E15" w14:textId="2F3001C2" w:rsidR="001357B7" w:rsidRPr="001357B7" w:rsidRDefault="001357B7" w:rsidP="001357B7">
      <w:pPr>
        <w:numPr>
          <w:ilvl w:val="0"/>
          <w:numId w:val="15"/>
        </w:numPr>
        <w:spacing w:after="160" w:line="259" w:lineRule="auto"/>
        <w:contextualSpacing/>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Pr="0012021A">
        <w:rPr>
          <w:rFonts w:asciiTheme="minorHAnsi" w:eastAsiaTheme="minorHAnsi" w:hAnsiTheme="minorHAnsi" w:cs="Lora"/>
          <w:color w:val="000000"/>
          <w:sz w:val="24"/>
          <w:szCs w:val="24"/>
        </w:rPr>
        <w:t xml:space="preserve">ndividuals who utilized an </w:t>
      </w:r>
      <w:r w:rsidRPr="001357B7">
        <w:rPr>
          <w:rFonts w:asciiTheme="minorHAnsi" w:eastAsiaTheme="minorHAnsi" w:hAnsiTheme="minorHAnsi" w:cs="Lora"/>
          <w:b/>
          <w:bCs/>
          <w:color w:val="000000"/>
          <w:sz w:val="24"/>
          <w:szCs w:val="24"/>
        </w:rPr>
        <w:t>ED</w:t>
      </w:r>
      <w:r w:rsidRPr="0012021A">
        <w:rPr>
          <w:rFonts w:asciiTheme="minorHAnsi" w:eastAsiaTheme="minorHAnsi" w:hAnsiTheme="minorHAnsi" w:cs="Lora"/>
          <w:color w:val="000000"/>
          <w:sz w:val="24"/>
          <w:szCs w:val="24"/>
        </w:rPr>
        <w:t xml:space="preserve"> for behavioral health issues in the past 30 days </w:t>
      </w:r>
      <w:r w:rsidRPr="00A0069B">
        <w:rPr>
          <w:rFonts w:asciiTheme="minorHAnsi" w:eastAsiaTheme="minorHAnsi" w:hAnsiTheme="minorHAnsi" w:cs="Lora"/>
          <w:b/>
          <w:bCs/>
          <w:color w:val="000000"/>
          <w:sz w:val="24"/>
          <w:szCs w:val="24"/>
        </w:rPr>
        <w:t>decreased 81%.</w:t>
      </w:r>
      <w:r w:rsidRPr="0012021A">
        <w:rPr>
          <w:rFonts w:asciiTheme="minorHAnsi" w:eastAsiaTheme="minorHAnsi" w:hAnsiTheme="minorHAnsi" w:cs="Lora"/>
          <w:color w:val="000000"/>
          <w:sz w:val="24"/>
          <w:szCs w:val="24"/>
        </w:rPr>
        <w:t xml:space="preserve">  (N=31)</w:t>
      </w:r>
    </w:p>
    <w:p w14:paraId="5FC0480A" w14:textId="77777777" w:rsidR="001357B7" w:rsidRPr="00B6109E" w:rsidRDefault="001357B7" w:rsidP="001357B7">
      <w:pPr>
        <w:spacing w:after="160" w:line="259" w:lineRule="auto"/>
        <w:ind w:left="1080"/>
        <w:contextualSpacing/>
        <w:rPr>
          <w:rFonts w:asciiTheme="minorHAnsi" w:eastAsiaTheme="minorHAnsi" w:hAnsiTheme="minorHAnsi" w:cs="Lora"/>
          <w:color w:val="211D1E"/>
          <w:sz w:val="8"/>
          <w:szCs w:val="8"/>
        </w:rPr>
      </w:pPr>
    </w:p>
    <w:p w14:paraId="72963E87" w14:textId="42C6C205" w:rsidR="0012021A" w:rsidRPr="001357B7" w:rsidRDefault="00A0069B" w:rsidP="0012021A">
      <w:pPr>
        <w:numPr>
          <w:ilvl w:val="0"/>
          <w:numId w:val="15"/>
        </w:numPr>
        <w:spacing w:after="160" w:line="259" w:lineRule="auto"/>
        <w:contextualSpacing/>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0012021A" w:rsidRPr="0012021A">
        <w:rPr>
          <w:rFonts w:asciiTheme="minorHAnsi" w:eastAsiaTheme="minorHAnsi" w:hAnsiTheme="minorHAnsi" w:cs="Lora"/>
          <w:color w:val="000000"/>
          <w:sz w:val="24"/>
          <w:szCs w:val="24"/>
        </w:rPr>
        <w:t xml:space="preserve">ndividuals </w:t>
      </w:r>
      <w:r w:rsidR="0012021A" w:rsidRPr="001357B7">
        <w:rPr>
          <w:rFonts w:asciiTheme="minorHAnsi" w:eastAsiaTheme="minorHAnsi" w:hAnsiTheme="minorHAnsi" w:cs="Lora"/>
          <w:b/>
          <w:bCs/>
          <w:color w:val="000000"/>
          <w:sz w:val="24"/>
          <w:szCs w:val="24"/>
        </w:rPr>
        <w:t>hospitalized i</w:t>
      </w:r>
      <w:r w:rsidR="0012021A" w:rsidRPr="0012021A">
        <w:rPr>
          <w:rFonts w:asciiTheme="minorHAnsi" w:eastAsiaTheme="minorHAnsi" w:hAnsiTheme="minorHAnsi" w:cs="Lora"/>
          <w:color w:val="000000"/>
          <w:sz w:val="24"/>
          <w:szCs w:val="24"/>
        </w:rPr>
        <w:t xml:space="preserve">n the past 30 days for mental health care </w:t>
      </w:r>
      <w:r w:rsidR="0012021A" w:rsidRPr="00A0069B">
        <w:rPr>
          <w:rFonts w:asciiTheme="minorHAnsi" w:eastAsiaTheme="minorHAnsi" w:hAnsiTheme="minorHAnsi" w:cs="Lora"/>
          <w:b/>
          <w:bCs/>
          <w:color w:val="000000"/>
          <w:sz w:val="24"/>
          <w:szCs w:val="24"/>
        </w:rPr>
        <w:t>decreased 69%</w:t>
      </w:r>
      <w:r w:rsidR="0012021A" w:rsidRPr="0012021A">
        <w:rPr>
          <w:rFonts w:asciiTheme="minorHAnsi" w:eastAsiaTheme="minorHAnsi" w:hAnsiTheme="minorHAnsi" w:cs="Lora"/>
          <w:color w:val="000000"/>
          <w:sz w:val="24"/>
          <w:szCs w:val="24"/>
        </w:rPr>
        <w:t>.  (N=45)</w:t>
      </w:r>
    </w:p>
    <w:p w14:paraId="5E0E02A5" w14:textId="635BCA1B" w:rsidR="001357B7" w:rsidRDefault="001357B7" w:rsidP="001357B7">
      <w:pPr>
        <w:pStyle w:val="ListParagraph"/>
        <w:numPr>
          <w:ilvl w:val="0"/>
          <w:numId w:val="15"/>
        </w:numPr>
        <w:rPr>
          <w:rFonts w:asciiTheme="minorHAnsi" w:eastAsiaTheme="minorHAnsi" w:hAnsiTheme="minorHAnsi" w:cs="Lora"/>
          <w:color w:val="211D1E"/>
          <w:sz w:val="24"/>
          <w:szCs w:val="24"/>
        </w:rPr>
      </w:pPr>
      <w:r w:rsidRPr="001357B7">
        <w:rPr>
          <w:rFonts w:asciiTheme="minorHAnsi" w:eastAsiaTheme="minorHAnsi" w:hAnsiTheme="minorHAnsi" w:cs="Lora"/>
          <w:color w:val="211D1E"/>
          <w:sz w:val="24"/>
          <w:szCs w:val="24"/>
        </w:rPr>
        <w:t xml:space="preserve">Individuals utilizing </w:t>
      </w:r>
      <w:r w:rsidRPr="001357B7">
        <w:rPr>
          <w:rFonts w:asciiTheme="minorHAnsi" w:eastAsiaTheme="minorHAnsi" w:hAnsiTheme="minorHAnsi" w:cs="Lora"/>
          <w:b/>
          <w:bCs/>
          <w:color w:val="211D1E"/>
          <w:sz w:val="24"/>
          <w:szCs w:val="24"/>
        </w:rPr>
        <w:t>inpatient substance abuse treatment</w:t>
      </w:r>
      <w:r w:rsidRPr="001357B7">
        <w:rPr>
          <w:rFonts w:asciiTheme="minorHAnsi" w:eastAsiaTheme="minorHAnsi" w:hAnsiTheme="minorHAnsi" w:cs="Lora"/>
          <w:color w:val="211D1E"/>
          <w:sz w:val="24"/>
          <w:szCs w:val="24"/>
        </w:rPr>
        <w:t xml:space="preserve"> in the past 30 days </w:t>
      </w:r>
      <w:r w:rsidRPr="001357B7">
        <w:rPr>
          <w:rFonts w:asciiTheme="minorHAnsi" w:eastAsiaTheme="minorHAnsi" w:hAnsiTheme="minorHAnsi" w:cs="Lora"/>
          <w:b/>
          <w:bCs/>
          <w:color w:val="211D1E"/>
          <w:sz w:val="24"/>
          <w:szCs w:val="24"/>
        </w:rPr>
        <w:t>decreased 46%</w:t>
      </w:r>
      <w:r w:rsidRPr="001357B7">
        <w:rPr>
          <w:rFonts w:asciiTheme="minorHAnsi" w:eastAsiaTheme="minorHAnsi" w:hAnsiTheme="minorHAnsi" w:cs="Lora"/>
          <w:color w:val="211D1E"/>
          <w:sz w:val="24"/>
          <w:szCs w:val="24"/>
        </w:rPr>
        <w:t>. (N=72)</w:t>
      </w:r>
    </w:p>
    <w:p w14:paraId="53654BC5" w14:textId="77777777" w:rsidR="001357B7" w:rsidRPr="00B6109E" w:rsidRDefault="001357B7" w:rsidP="001357B7">
      <w:pPr>
        <w:pStyle w:val="ListParagraph"/>
        <w:ind w:left="1080"/>
        <w:rPr>
          <w:rFonts w:asciiTheme="minorHAnsi" w:eastAsiaTheme="minorHAnsi" w:hAnsiTheme="minorHAnsi" w:cs="Lora"/>
          <w:color w:val="211D1E"/>
          <w:sz w:val="8"/>
          <w:szCs w:val="8"/>
        </w:rPr>
      </w:pPr>
    </w:p>
    <w:p w14:paraId="7B67BFA2" w14:textId="77777777" w:rsidR="001357B7" w:rsidRDefault="001357B7" w:rsidP="001357B7">
      <w:pPr>
        <w:pStyle w:val="ListParagraph"/>
        <w:numPr>
          <w:ilvl w:val="0"/>
          <w:numId w:val="15"/>
        </w:numPr>
        <w:spacing w:after="160" w:line="259" w:lineRule="auto"/>
        <w:rPr>
          <w:rFonts w:asciiTheme="minorHAnsi" w:eastAsiaTheme="minorHAnsi" w:hAnsiTheme="minorHAnsi" w:cs="Lora"/>
          <w:color w:val="211D1E"/>
          <w:sz w:val="24"/>
          <w:szCs w:val="24"/>
        </w:rPr>
      </w:pPr>
      <w:r w:rsidRPr="001357B7">
        <w:rPr>
          <w:rFonts w:asciiTheme="minorHAnsi" w:eastAsiaTheme="minorHAnsi" w:hAnsiTheme="minorHAnsi" w:cs="Lora"/>
          <w:color w:val="211D1E"/>
          <w:sz w:val="24"/>
          <w:szCs w:val="24"/>
        </w:rPr>
        <w:t xml:space="preserve">Individuals who were </w:t>
      </w:r>
      <w:r w:rsidRPr="001357B7">
        <w:rPr>
          <w:rFonts w:asciiTheme="minorHAnsi" w:eastAsiaTheme="minorHAnsi" w:hAnsiTheme="minorHAnsi" w:cs="Lora"/>
          <w:b/>
          <w:bCs/>
          <w:color w:val="211D1E"/>
          <w:sz w:val="24"/>
          <w:szCs w:val="24"/>
        </w:rPr>
        <w:t>homeless</w:t>
      </w:r>
      <w:r w:rsidRPr="001357B7">
        <w:rPr>
          <w:rFonts w:asciiTheme="minorHAnsi" w:eastAsiaTheme="minorHAnsi" w:hAnsiTheme="minorHAnsi" w:cs="Lora"/>
          <w:color w:val="211D1E"/>
          <w:sz w:val="24"/>
          <w:szCs w:val="24"/>
        </w:rPr>
        <w:t xml:space="preserve"> </w:t>
      </w:r>
      <w:r w:rsidRPr="001357B7">
        <w:rPr>
          <w:rFonts w:asciiTheme="minorHAnsi" w:eastAsiaTheme="minorHAnsi" w:hAnsiTheme="minorHAnsi" w:cs="Lora"/>
          <w:b/>
          <w:bCs/>
          <w:color w:val="211D1E"/>
          <w:sz w:val="24"/>
          <w:szCs w:val="24"/>
        </w:rPr>
        <w:t>decreased 30%</w:t>
      </w:r>
      <w:r w:rsidRPr="001357B7">
        <w:rPr>
          <w:rFonts w:asciiTheme="minorHAnsi" w:eastAsiaTheme="minorHAnsi" w:hAnsiTheme="minorHAnsi" w:cs="Lora"/>
          <w:color w:val="211D1E"/>
          <w:sz w:val="24"/>
          <w:szCs w:val="24"/>
        </w:rPr>
        <w:t>. (N=89)</w:t>
      </w:r>
    </w:p>
    <w:p w14:paraId="562FB152" w14:textId="77777777" w:rsidR="001357B7" w:rsidRPr="00B6109E" w:rsidRDefault="001357B7" w:rsidP="001357B7">
      <w:pPr>
        <w:pStyle w:val="ListParagraph"/>
        <w:rPr>
          <w:rFonts w:cs="Lora"/>
          <w:color w:val="000000"/>
          <w:sz w:val="8"/>
          <w:szCs w:val="8"/>
        </w:rPr>
      </w:pPr>
    </w:p>
    <w:p w14:paraId="4790D1CC" w14:textId="6168FB43" w:rsidR="001357B7" w:rsidRPr="001357B7" w:rsidRDefault="001357B7" w:rsidP="005D13EB">
      <w:pPr>
        <w:pStyle w:val="ListParagraph"/>
        <w:numPr>
          <w:ilvl w:val="0"/>
          <w:numId w:val="15"/>
        </w:numPr>
        <w:spacing w:after="160" w:line="259" w:lineRule="auto"/>
        <w:rPr>
          <w:rFonts w:asciiTheme="minorHAnsi" w:eastAsiaTheme="minorHAnsi" w:hAnsiTheme="minorHAnsi" w:cs="Lora"/>
          <w:color w:val="211D1E"/>
          <w:sz w:val="24"/>
          <w:szCs w:val="24"/>
        </w:rPr>
      </w:pPr>
      <w:r w:rsidRPr="001357B7">
        <w:rPr>
          <w:rFonts w:cs="Lora"/>
          <w:color w:val="000000"/>
          <w:sz w:val="24"/>
          <w:szCs w:val="24"/>
        </w:rPr>
        <w:t xml:space="preserve">Individuals </w:t>
      </w:r>
      <w:r w:rsidRPr="001357B7">
        <w:rPr>
          <w:rFonts w:cs="Lora"/>
          <w:b/>
          <w:bCs/>
          <w:color w:val="000000"/>
          <w:sz w:val="24"/>
          <w:szCs w:val="24"/>
        </w:rPr>
        <w:t>using illegal substances</w:t>
      </w:r>
      <w:r w:rsidRPr="001357B7">
        <w:rPr>
          <w:rFonts w:cs="Lora"/>
          <w:color w:val="000000"/>
          <w:sz w:val="24"/>
          <w:szCs w:val="24"/>
        </w:rPr>
        <w:t xml:space="preserve"> in the past 30 days </w:t>
      </w:r>
      <w:r w:rsidRPr="001357B7">
        <w:rPr>
          <w:rFonts w:cs="Lora"/>
          <w:b/>
          <w:bCs/>
          <w:color w:val="000000"/>
          <w:sz w:val="24"/>
          <w:szCs w:val="24"/>
        </w:rPr>
        <w:t>decreased 38%</w:t>
      </w:r>
      <w:r w:rsidRPr="001357B7">
        <w:rPr>
          <w:rFonts w:cs="Lora"/>
          <w:color w:val="000000"/>
          <w:sz w:val="24"/>
          <w:szCs w:val="24"/>
        </w:rPr>
        <w:t>. (N=396)</w:t>
      </w:r>
    </w:p>
    <w:p w14:paraId="1B1250B6" w14:textId="77777777" w:rsidR="001357B7" w:rsidRPr="00B6109E" w:rsidRDefault="001357B7" w:rsidP="001357B7">
      <w:pPr>
        <w:pStyle w:val="ListParagraph"/>
        <w:rPr>
          <w:rFonts w:asciiTheme="minorHAnsi" w:eastAsiaTheme="minorHAnsi" w:hAnsiTheme="minorHAnsi" w:cs="Lora"/>
          <w:color w:val="211D1E"/>
          <w:sz w:val="8"/>
          <w:szCs w:val="8"/>
        </w:rPr>
      </w:pPr>
    </w:p>
    <w:p w14:paraId="4E6820BB" w14:textId="5703AADB" w:rsidR="00B6109E" w:rsidRPr="00B6109E" w:rsidRDefault="00B6109E" w:rsidP="00B6109E">
      <w:pPr>
        <w:pStyle w:val="ListParagraph"/>
        <w:numPr>
          <w:ilvl w:val="0"/>
          <w:numId w:val="15"/>
        </w:numPr>
        <w:spacing w:after="160" w:line="259" w:lineRule="auto"/>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Pr="001357B7">
        <w:rPr>
          <w:rFonts w:asciiTheme="minorHAnsi" w:eastAsiaTheme="minorHAnsi" w:hAnsiTheme="minorHAnsi" w:cs="Lora"/>
          <w:color w:val="000000"/>
          <w:sz w:val="24"/>
          <w:szCs w:val="24"/>
        </w:rPr>
        <w:t xml:space="preserve">ndividuals in a </w:t>
      </w:r>
      <w:r w:rsidRPr="001357B7">
        <w:rPr>
          <w:rFonts w:asciiTheme="minorHAnsi" w:eastAsiaTheme="minorHAnsi" w:hAnsiTheme="minorHAnsi" w:cs="Lora"/>
          <w:b/>
          <w:bCs/>
          <w:color w:val="000000"/>
          <w:sz w:val="24"/>
          <w:szCs w:val="24"/>
        </w:rPr>
        <w:t>correctional facility</w:t>
      </w:r>
      <w:r w:rsidRPr="001357B7">
        <w:rPr>
          <w:rFonts w:asciiTheme="minorHAnsi" w:eastAsiaTheme="minorHAnsi" w:hAnsiTheme="minorHAnsi" w:cs="Lora"/>
          <w:color w:val="000000"/>
          <w:sz w:val="24"/>
          <w:szCs w:val="24"/>
        </w:rPr>
        <w:t xml:space="preserve"> in the past 30 days </w:t>
      </w:r>
      <w:r w:rsidRPr="001357B7">
        <w:rPr>
          <w:rFonts w:asciiTheme="minorHAnsi" w:eastAsiaTheme="minorHAnsi" w:hAnsiTheme="minorHAnsi" w:cs="Lora"/>
          <w:b/>
          <w:bCs/>
          <w:color w:val="000000"/>
          <w:sz w:val="24"/>
          <w:szCs w:val="24"/>
        </w:rPr>
        <w:t>decreased 92</w:t>
      </w:r>
      <w:r w:rsidRPr="001357B7">
        <w:rPr>
          <w:rFonts w:asciiTheme="minorHAnsi" w:eastAsiaTheme="minorHAnsi" w:hAnsiTheme="minorHAnsi" w:cs="Lora"/>
          <w:color w:val="000000"/>
          <w:sz w:val="24"/>
          <w:szCs w:val="24"/>
        </w:rPr>
        <w:t>%. (N=50)</w:t>
      </w:r>
    </w:p>
    <w:p w14:paraId="6251290F" w14:textId="77777777" w:rsidR="00B6109E" w:rsidRPr="00B6109E" w:rsidRDefault="00B6109E" w:rsidP="00B6109E">
      <w:pPr>
        <w:pStyle w:val="ListParagraph"/>
        <w:spacing w:after="160" w:line="259" w:lineRule="auto"/>
        <w:rPr>
          <w:rFonts w:asciiTheme="minorHAnsi" w:eastAsiaTheme="minorHAnsi" w:hAnsiTheme="minorHAnsi" w:cs="Lora"/>
          <w:color w:val="211D1E"/>
          <w:sz w:val="12"/>
          <w:szCs w:val="12"/>
        </w:rPr>
      </w:pPr>
    </w:p>
    <w:p w14:paraId="68F04F5D" w14:textId="3B20545C" w:rsidR="00A0069B" w:rsidRPr="00B6109E" w:rsidRDefault="00B6109E" w:rsidP="00B6109E">
      <w:pPr>
        <w:pStyle w:val="ListParagraph"/>
        <w:numPr>
          <w:ilvl w:val="0"/>
          <w:numId w:val="14"/>
        </w:numPr>
        <w:spacing w:after="160" w:line="259" w:lineRule="auto"/>
        <w:ind w:left="360"/>
        <w:rPr>
          <w:rFonts w:asciiTheme="minorHAnsi" w:eastAsiaTheme="minorHAnsi" w:hAnsiTheme="minorHAnsi" w:cs="Lora"/>
          <w:color w:val="211D1E"/>
          <w:sz w:val="24"/>
          <w:szCs w:val="24"/>
        </w:rPr>
      </w:pPr>
      <w:r w:rsidRPr="00B6109E">
        <w:rPr>
          <w:rFonts w:asciiTheme="minorHAnsi" w:eastAsiaTheme="minorHAnsi" w:hAnsiTheme="minorHAnsi" w:cs="Lora"/>
          <w:color w:val="000000"/>
          <w:sz w:val="24"/>
          <w:szCs w:val="24"/>
        </w:rPr>
        <w:t>National Council for Mental Wellbeing, 2022 CCBHC Impact Report</w:t>
      </w:r>
    </w:p>
    <w:p w14:paraId="0DE81BF0" w14:textId="77777777" w:rsidR="00B6109E" w:rsidRPr="00B6109E" w:rsidRDefault="00B6109E" w:rsidP="00B6109E">
      <w:pPr>
        <w:pStyle w:val="ListParagraph"/>
        <w:rPr>
          <w:rFonts w:asciiTheme="minorHAnsi" w:eastAsiaTheme="minorHAnsi" w:hAnsiTheme="minorHAnsi" w:cs="Lora"/>
          <w:color w:val="211D1E"/>
          <w:sz w:val="8"/>
          <w:szCs w:val="8"/>
        </w:rPr>
      </w:pPr>
    </w:p>
    <w:p w14:paraId="6CEE52B7" w14:textId="1C597905" w:rsidR="00B6109E"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Pr>
          <w:rFonts w:asciiTheme="minorHAnsi" w:eastAsiaTheme="minorHAnsi" w:hAnsiTheme="minorHAnsi" w:cs="Lora"/>
          <w:color w:val="211D1E"/>
          <w:sz w:val="24"/>
          <w:szCs w:val="24"/>
        </w:rPr>
        <w:t>Florida</w:t>
      </w:r>
      <w:r w:rsidRPr="00B6109E">
        <w:rPr>
          <w:rFonts w:asciiTheme="minorHAnsi" w:eastAsiaTheme="minorHAnsi" w:hAnsiTheme="minorHAnsi" w:cs="Lora"/>
          <w:color w:val="211D1E"/>
          <w:sz w:val="24"/>
          <w:szCs w:val="24"/>
        </w:rPr>
        <w:t xml:space="preserve"> CCBHCs </w:t>
      </w:r>
      <w:r w:rsidRPr="00B6109E">
        <w:rPr>
          <w:rFonts w:asciiTheme="minorHAnsi" w:eastAsiaTheme="minorHAnsi" w:hAnsiTheme="minorHAnsi" w:cs="Lora"/>
          <w:b/>
          <w:bCs/>
          <w:color w:val="211D1E"/>
          <w:sz w:val="24"/>
          <w:szCs w:val="24"/>
        </w:rPr>
        <w:t xml:space="preserve">serve 23% more people </w:t>
      </w:r>
      <w:r w:rsidRPr="00B6109E">
        <w:rPr>
          <w:rFonts w:asciiTheme="minorHAnsi" w:eastAsiaTheme="minorHAnsi" w:hAnsiTheme="minorHAnsi" w:cs="Lora"/>
          <w:color w:val="211D1E"/>
          <w:sz w:val="24"/>
          <w:szCs w:val="24"/>
        </w:rPr>
        <w:t>than prior to CCBHC implementation</w:t>
      </w:r>
      <w:r>
        <w:rPr>
          <w:rFonts w:asciiTheme="minorHAnsi" w:eastAsiaTheme="minorHAnsi" w:hAnsiTheme="minorHAnsi" w:cs="Lora"/>
          <w:color w:val="211D1E"/>
          <w:sz w:val="24"/>
          <w:szCs w:val="24"/>
        </w:rPr>
        <w:t xml:space="preserve">. </w:t>
      </w:r>
    </w:p>
    <w:p w14:paraId="44CE7627" w14:textId="4E30604F" w:rsidR="00B6109E"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sidRPr="00B6109E">
        <w:rPr>
          <w:rFonts w:asciiTheme="minorHAnsi" w:eastAsiaTheme="minorHAnsi" w:hAnsiTheme="minorHAnsi" w:cs="Lora"/>
          <w:b/>
          <w:bCs/>
          <w:color w:val="211D1E"/>
          <w:sz w:val="24"/>
          <w:szCs w:val="24"/>
        </w:rPr>
        <w:t>87% of Florida’s CCBHCs see patients for routine needs within 10 days</w:t>
      </w:r>
      <w:r w:rsidRPr="00B6109E">
        <w:rPr>
          <w:rFonts w:asciiTheme="minorHAnsi" w:eastAsiaTheme="minorHAnsi" w:hAnsiTheme="minorHAnsi" w:cs="Lora"/>
          <w:color w:val="211D1E"/>
          <w:sz w:val="24"/>
          <w:szCs w:val="24"/>
        </w:rPr>
        <w:t xml:space="preserve"> of the initial call or referral (compared to national average of 48 days)</w:t>
      </w:r>
      <w:r>
        <w:rPr>
          <w:rFonts w:asciiTheme="minorHAnsi" w:eastAsiaTheme="minorHAnsi" w:hAnsiTheme="minorHAnsi" w:cs="Lora"/>
          <w:color w:val="211D1E"/>
          <w:sz w:val="24"/>
          <w:szCs w:val="24"/>
        </w:rPr>
        <w:t>.</w:t>
      </w:r>
    </w:p>
    <w:p w14:paraId="30EB9748" w14:textId="2F848524" w:rsidR="00B6109E" w:rsidRPr="001357B7"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sidRPr="00B6109E">
        <w:rPr>
          <w:rFonts w:asciiTheme="minorHAnsi" w:eastAsiaTheme="minorHAnsi" w:hAnsiTheme="minorHAnsi" w:cs="Lora"/>
          <w:color w:val="211D1E"/>
          <w:sz w:val="24"/>
          <w:szCs w:val="24"/>
        </w:rPr>
        <w:t xml:space="preserve">On average, </w:t>
      </w:r>
      <w:r>
        <w:rPr>
          <w:rFonts w:asciiTheme="minorHAnsi" w:eastAsiaTheme="minorHAnsi" w:hAnsiTheme="minorHAnsi" w:cs="Lora"/>
          <w:color w:val="211D1E"/>
          <w:sz w:val="24"/>
          <w:szCs w:val="24"/>
        </w:rPr>
        <w:t xml:space="preserve">Florida </w:t>
      </w:r>
      <w:r w:rsidRPr="00B6109E">
        <w:rPr>
          <w:rFonts w:asciiTheme="minorHAnsi" w:eastAsiaTheme="minorHAnsi" w:hAnsiTheme="minorHAnsi" w:cs="Lora"/>
          <w:color w:val="211D1E"/>
          <w:sz w:val="24"/>
          <w:szCs w:val="24"/>
        </w:rPr>
        <w:t xml:space="preserve">CCBHCs </w:t>
      </w:r>
      <w:r w:rsidRPr="00B6109E">
        <w:rPr>
          <w:rFonts w:asciiTheme="minorHAnsi" w:eastAsiaTheme="minorHAnsi" w:hAnsiTheme="minorHAnsi" w:cs="Lora"/>
          <w:b/>
          <w:bCs/>
          <w:color w:val="211D1E"/>
          <w:sz w:val="24"/>
          <w:szCs w:val="24"/>
        </w:rPr>
        <w:t>hired 27 new staff</w:t>
      </w:r>
      <w:r>
        <w:rPr>
          <w:rFonts w:asciiTheme="minorHAnsi" w:eastAsiaTheme="minorHAnsi" w:hAnsiTheme="minorHAnsi" w:cs="Lora"/>
          <w:b/>
          <w:bCs/>
          <w:color w:val="211D1E"/>
          <w:sz w:val="24"/>
          <w:szCs w:val="24"/>
        </w:rPr>
        <w:t>.</w:t>
      </w:r>
    </w:p>
    <w:p w14:paraId="7A7F4A93" w14:textId="6543587D" w:rsidR="0012021A" w:rsidRDefault="0012021A" w:rsidP="0012021A"/>
    <w:p w14:paraId="07CC0E15" w14:textId="77777777" w:rsidR="0012021A" w:rsidRPr="0012021A" w:rsidRDefault="0012021A" w:rsidP="0012021A">
      <w:pPr>
        <w:spacing w:after="160" w:line="259" w:lineRule="auto"/>
        <w:rPr>
          <w:rFonts w:asciiTheme="minorHAnsi" w:eastAsiaTheme="minorHAnsi" w:hAnsiTheme="minorHAnsi" w:cstheme="minorBidi"/>
        </w:rPr>
      </w:pPr>
      <w:r w:rsidRPr="0012021A">
        <w:rPr>
          <w:rFonts w:asciiTheme="minorHAnsi" w:eastAsiaTheme="minorHAnsi" w:hAnsiTheme="minorHAnsi" w:cstheme="minorBidi"/>
          <w:b/>
          <w:bCs/>
        </w:rPr>
        <w:t>State Assessments of Potential Cost Savings Resulting from the Certified Community Behavioral Health Clinics</w:t>
      </w:r>
      <w:r w:rsidRPr="0012021A">
        <w:rPr>
          <w:rFonts w:asciiTheme="minorHAnsi" w:eastAsiaTheme="minorHAnsi" w:hAnsiTheme="minorHAnsi" w:cstheme="minorBidi"/>
        </w:rPr>
        <w:t xml:space="preserve"> </w:t>
      </w:r>
      <w:r w:rsidRPr="0012021A">
        <w:rPr>
          <w:rFonts w:asciiTheme="minorHAnsi" w:eastAsiaTheme="minorHAnsi" w:hAnsiTheme="minorHAnsi" w:cstheme="minorBidi"/>
          <w:b/>
          <w:bCs/>
        </w:rPr>
        <w:t>(CCBHC) Demonstration</w:t>
      </w:r>
      <w:r w:rsidRPr="0012021A">
        <w:rPr>
          <w:rFonts w:asciiTheme="minorHAnsi" w:eastAsiaTheme="minorHAnsi" w:hAnsiTheme="minorHAnsi" w:cstheme="minorBidi"/>
        </w:rPr>
        <w:t xml:space="preserve"> (Source: United States Government Accountability Office, GAO-21-104466 - Medicaid Behavioral Health) </w:t>
      </w:r>
    </w:p>
    <w:p w14:paraId="3A44E54A" w14:textId="19427BD6" w:rsidR="0012021A" w:rsidRDefault="0012021A" w:rsidP="0012021A">
      <w:pPr>
        <w:numPr>
          <w:ilvl w:val="0"/>
          <w:numId w:val="16"/>
        </w:numPr>
        <w:spacing w:after="160" w:line="259" w:lineRule="auto"/>
        <w:contextualSpacing/>
        <w:rPr>
          <w:rFonts w:asciiTheme="minorHAnsi" w:eastAsiaTheme="minorHAnsi" w:hAnsiTheme="minorHAnsi" w:cstheme="minorBidi"/>
        </w:rPr>
      </w:pPr>
      <w:r>
        <w:rPr>
          <w:rFonts w:asciiTheme="minorHAnsi" w:eastAsiaTheme="minorHAnsi" w:hAnsiTheme="minorHAnsi" w:cstheme="minorBidi"/>
          <w:b/>
          <w:bCs/>
        </w:rPr>
        <w:t>Midwest</w:t>
      </w:r>
      <w:r w:rsidRPr="0012021A">
        <w:rPr>
          <w:rFonts w:asciiTheme="minorHAnsi" w:eastAsiaTheme="minorHAnsi" w:hAnsiTheme="minorHAnsi" w:cstheme="minorBidi"/>
          <w:b/>
          <w:bCs/>
        </w:rPr>
        <w:t>:</w:t>
      </w:r>
      <w:r w:rsidRPr="0012021A">
        <w:rPr>
          <w:rFonts w:asciiTheme="minorHAnsi" w:eastAsiaTheme="minorHAnsi" w:hAnsiTheme="minorHAnsi" w:cstheme="minorBidi"/>
        </w:rPr>
        <w:t xml:space="preserve"> Examined inpatient psychiatric hospitalization utilization for CCBHC clients in 6 month intervals and compared annual costs of CCBHCs and Community Mental Health Centers. Inpatient psychiatric hospitalizations decreased by approximately 1,400 days for CCBHC clients after 6 months of CCBHC services. Primarily through a reduction in psychiatric inpatient hospitalizations and crisis intervention, the CCBHC model resulted in annual savings of over $2 million compared with the Community Mental Health Center model.</w:t>
      </w:r>
    </w:p>
    <w:p w14:paraId="4304813D" w14:textId="77777777" w:rsidR="0012021A" w:rsidRPr="0012021A" w:rsidRDefault="0012021A" w:rsidP="0012021A">
      <w:pPr>
        <w:spacing w:after="160" w:line="259" w:lineRule="auto"/>
        <w:ind w:left="720"/>
        <w:contextualSpacing/>
        <w:rPr>
          <w:rFonts w:asciiTheme="minorHAnsi" w:eastAsiaTheme="minorHAnsi" w:hAnsiTheme="minorHAnsi" w:cstheme="minorBidi"/>
        </w:rPr>
      </w:pPr>
    </w:p>
    <w:p w14:paraId="001D216D" w14:textId="496CDEEB" w:rsidR="0012021A" w:rsidRPr="0012021A" w:rsidRDefault="0012021A" w:rsidP="0012021A">
      <w:pPr>
        <w:numPr>
          <w:ilvl w:val="0"/>
          <w:numId w:val="16"/>
        </w:numPr>
        <w:spacing w:after="160" w:line="259" w:lineRule="auto"/>
        <w:contextualSpacing/>
        <w:rPr>
          <w:rFonts w:asciiTheme="minorHAnsi" w:eastAsiaTheme="minorHAnsi" w:hAnsiTheme="minorHAnsi" w:cstheme="minorBidi"/>
        </w:rPr>
      </w:pPr>
      <w:r w:rsidRPr="0012021A">
        <w:rPr>
          <w:rFonts w:asciiTheme="minorHAnsi" w:eastAsiaTheme="minorHAnsi" w:hAnsiTheme="minorHAnsi" w:cstheme="minorBidi"/>
          <w:b/>
          <w:bCs/>
        </w:rPr>
        <w:t xml:space="preserve">Northeast: </w:t>
      </w:r>
      <w:r w:rsidRPr="0012021A">
        <w:rPr>
          <w:rFonts w:asciiTheme="minorHAnsi" w:eastAsiaTheme="minorHAnsi" w:hAnsiTheme="minorHAnsi" w:cstheme="minorBidi"/>
        </w:rPr>
        <w:t>Estimated the difference in costs for utilization of inpatient hospitalizations and emergency room visits for CCBHC clients in demonstration year one compared to the period before the demonstration.  For CCBHC clients in demonstration year one, monthly inpatient hospitalization costs and monthly emergency room costs each decreased over 25 percent, resulting in monthly cost savings of over $1 million from decreased hospitalizations and nearly $100,000 from decreased emergency room visits.</w:t>
      </w:r>
    </w:p>
    <w:p w14:paraId="4FC5774C" w14:textId="77777777" w:rsidR="0012021A" w:rsidRDefault="0012021A" w:rsidP="0012021A">
      <w:pPr>
        <w:spacing w:after="160" w:line="259" w:lineRule="auto"/>
        <w:rPr>
          <w:rFonts w:asciiTheme="minorHAnsi" w:eastAsiaTheme="minorHAnsi" w:hAnsiTheme="minorHAnsi" w:cstheme="minorBidi"/>
        </w:rPr>
      </w:pPr>
    </w:p>
    <w:p w14:paraId="78980865" w14:textId="7302DC2C" w:rsidR="0012021A" w:rsidRPr="0012021A" w:rsidRDefault="0012021A" w:rsidP="0012021A">
      <w:pPr>
        <w:spacing w:after="160" w:line="259" w:lineRule="auto"/>
        <w:rPr>
          <w:rFonts w:asciiTheme="minorHAnsi" w:eastAsiaTheme="minorHAnsi" w:hAnsiTheme="minorHAnsi" w:cstheme="minorBidi"/>
          <w:i/>
          <w:iCs/>
        </w:rPr>
      </w:pPr>
      <w:r w:rsidRPr="0012021A">
        <w:rPr>
          <w:rFonts w:asciiTheme="minorHAnsi" w:eastAsiaTheme="minorHAnsi" w:hAnsiTheme="minorHAnsi" w:cstheme="minorBidi"/>
        </w:rPr>
        <w:t xml:space="preserve">The GAO report noted that </w:t>
      </w:r>
      <w:r w:rsidRPr="0012021A">
        <w:rPr>
          <w:rFonts w:asciiTheme="minorHAnsi" w:eastAsiaTheme="minorHAnsi" w:hAnsiTheme="minorHAnsi" w:cstheme="minorBidi"/>
          <w:i/>
          <w:iCs/>
        </w:rPr>
        <w:t>as cost savings may take longer to materialize, some state officials expressed an interest in evaluating the CCBHC model’s ability to avoid certain client outcomes that drive increased state spending on medical care, such as inpatient hospitalizations, or the model’s ability to reduce costs for other state government functions, such as law enforcement.</w:t>
      </w:r>
    </w:p>
    <w:p w14:paraId="63A6AE71" w14:textId="77777777" w:rsidR="0012021A" w:rsidRPr="0012021A" w:rsidRDefault="0012021A" w:rsidP="0012021A"/>
    <w:sectPr w:rsidR="0012021A" w:rsidRPr="0012021A" w:rsidSect="00B6109E">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E5D7" w14:textId="77777777" w:rsidR="0031080B" w:rsidRDefault="0031080B" w:rsidP="00455196">
      <w:pPr>
        <w:spacing w:after="0" w:line="240" w:lineRule="auto"/>
      </w:pPr>
      <w:r>
        <w:separator/>
      </w:r>
    </w:p>
  </w:endnote>
  <w:endnote w:type="continuationSeparator" w:id="0">
    <w:p w14:paraId="1C1ED166" w14:textId="77777777" w:rsidR="0031080B" w:rsidRDefault="0031080B" w:rsidP="0045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ED82" w14:textId="77777777" w:rsidR="0031080B" w:rsidRDefault="0031080B" w:rsidP="00455196">
      <w:pPr>
        <w:spacing w:after="0" w:line="240" w:lineRule="auto"/>
      </w:pPr>
      <w:r>
        <w:separator/>
      </w:r>
    </w:p>
  </w:footnote>
  <w:footnote w:type="continuationSeparator" w:id="0">
    <w:p w14:paraId="3690AADE" w14:textId="77777777" w:rsidR="0031080B" w:rsidRDefault="0031080B" w:rsidP="0045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5A1C" w14:textId="77777777" w:rsidR="005848FB" w:rsidRPr="005848FB" w:rsidRDefault="005848FB" w:rsidP="005848FB">
    <w:pPr>
      <w:tabs>
        <w:tab w:val="center" w:pos="4680"/>
        <w:tab w:val="right" w:pos="9360"/>
      </w:tabs>
      <w:spacing w:after="0" w:line="240" w:lineRule="auto"/>
      <w:rPr>
        <w:rFonts w:asciiTheme="minorHAnsi" w:eastAsiaTheme="minorHAnsi" w:hAnsiTheme="minorHAnsi" w:cstheme="minorBidi"/>
      </w:rPr>
    </w:pPr>
    <w:r w:rsidRPr="005848FB">
      <w:rPr>
        <w:rFonts w:asciiTheme="minorHAnsi" w:eastAsiaTheme="minorHAnsi" w:hAnsiTheme="minorHAnsi" w:cstheme="minorBidi"/>
        <w:b/>
        <w:bCs/>
        <w:noProof/>
      </w:rPr>
      <w:drawing>
        <wp:anchor distT="0" distB="0" distL="114300" distR="114300" simplePos="0" relativeHeight="251659264" behindDoc="1" locked="0" layoutInCell="1" allowOverlap="1" wp14:anchorId="00D6A8CF" wp14:editId="4616CF5D">
          <wp:simplePos x="0" y="0"/>
          <wp:positionH relativeFrom="column">
            <wp:posOffset>127</wp:posOffset>
          </wp:positionH>
          <wp:positionV relativeFrom="paragraph">
            <wp:posOffset>-38100</wp:posOffset>
          </wp:positionV>
          <wp:extent cx="2395936" cy="426757"/>
          <wp:effectExtent l="0" t="0" r="4445" b="0"/>
          <wp:wrapTight wrapText="bothSides">
            <wp:wrapPolygon edited="0">
              <wp:start x="0" y="0"/>
              <wp:lineTo x="0" y="20250"/>
              <wp:lineTo x="21468" y="20250"/>
              <wp:lineTo x="21468" y="0"/>
              <wp:lineTo x="0" y="0"/>
            </wp:wrapPolygon>
          </wp:wrapTight>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5936" cy="426757"/>
                  </a:xfrm>
                  <a:prstGeom prst="rect">
                    <a:avLst/>
                  </a:prstGeom>
                </pic:spPr>
              </pic:pic>
            </a:graphicData>
          </a:graphic>
        </wp:anchor>
      </w:drawing>
    </w:r>
    <w:r w:rsidRPr="005848FB">
      <w:rPr>
        <w:rFonts w:asciiTheme="minorHAnsi" w:eastAsiaTheme="minorHAnsi" w:hAnsiTheme="minorHAnsi" w:cstheme="minorBidi"/>
        <w:noProof/>
      </w:rPr>
      <w:drawing>
        <wp:anchor distT="0" distB="0" distL="114300" distR="114300" simplePos="0" relativeHeight="251660288" behindDoc="1" locked="0" layoutInCell="1" allowOverlap="1" wp14:anchorId="741DFC2A" wp14:editId="3D5FDF1A">
          <wp:simplePos x="0" y="0"/>
          <wp:positionH relativeFrom="column">
            <wp:posOffset>4495800</wp:posOffset>
          </wp:positionH>
          <wp:positionV relativeFrom="paragraph">
            <wp:posOffset>-36830</wp:posOffset>
          </wp:positionV>
          <wp:extent cx="1428750" cy="528320"/>
          <wp:effectExtent l="0" t="0" r="0" b="5080"/>
          <wp:wrapTight wrapText="bothSides">
            <wp:wrapPolygon edited="0">
              <wp:start x="0" y="0"/>
              <wp:lineTo x="0" y="21029"/>
              <wp:lineTo x="21312" y="21029"/>
              <wp:lineTo x="213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428750" cy="528320"/>
                  </a:xfrm>
                  <a:prstGeom prst="rect">
                    <a:avLst/>
                  </a:prstGeom>
                </pic:spPr>
              </pic:pic>
            </a:graphicData>
          </a:graphic>
          <wp14:sizeRelH relativeFrom="margin">
            <wp14:pctWidth>0</wp14:pctWidth>
          </wp14:sizeRelH>
          <wp14:sizeRelV relativeFrom="margin">
            <wp14:pctHeight>0</wp14:pctHeight>
          </wp14:sizeRelV>
        </wp:anchor>
      </w:drawing>
    </w:r>
    <w:r w:rsidRPr="005848FB">
      <w:rPr>
        <w:rFonts w:asciiTheme="minorHAnsi" w:eastAsiaTheme="minorHAnsi" w:hAnsiTheme="minorHAnsi" w:cstheme="minorBidi"/>
      </w:rPr>
      <w:t xml:space="preserve">                                                                      </w:t>
    </w:r>
  </w:p>
  <w:p w14:paraId="7DFF7D7A" w14:textId="16893942" w:rsidR="00945C08" w:rsidRDefault="00945C08" w:rsidP="00945C08">
    <w:pPr>
      <w:pStyle w:val="NoSpacing"/>
      <w:rPr>
        <w:rFonts w:ascii="Arial" w:hAnsi="Arial" w:cs="Arial"/>
        <w:sz w:val="24"/>
        <w:szCs w:val="24"/>
      </w:rPr>
    </w:pPr>
  </w:p>
  <w:p w14:paraId="54D7380F" w14:textId="77777777" w:rsidR="00016682" w:rsidRDefault="00016682" w:rsidP="00945C08">
    <w:pPr>
      <w:pStyle w:val="NoSpacing"/>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64B"/>
    <w:multiLevelType w:val="hybridMultilevel"/>
    <w:tmpl w:val="61BCCE68"/>
    <w:lvl w:ilvl="0" w:tplc="E580EE0A">
      <w:start w:val="1"/>
      <w:numFmt w:val="upperLetter"/>
      <w:lvlText w:val="%1."/>
      <w:lvlJc w:val="left"/>
      <w:pPr>
        <w:ind w:left="360" w:hanging="360"/>
      </w:pPr>
      <w:rPr>
        <w:rFonts w:ascii="Arial" w:eastAsia="Times New Roman" w:hAnsi="Arial"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9E5C7E"/>
    <w:multiLevelType w:val="hybridMultilevel"/>
    <w:tmpl w:val="163C74EE"/>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18372B1E"/>
    <w:multiLevelType w:val="hybridMultilevel"/>
    <w:tmpl w:val="E928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A4D"/>
    <w:multiLevelType w:val="hybridMultilevel"/>
    <w:tmpl w:val="5EA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C69F4"/>
    <w:multiLevelType w:val="hybridMultilevel"/>
    <w:tmpl w:val="D074ABBC"/>
    <w:lvl w:ilvl="0" w:tplc="EC0410D4">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2A57F5"/>
    <w:multiLevelType w:val="hybridMultilevel"/>
    <w:tmpl w:val="9B708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CE056B"/>
    <w:multiLevelType w:val="hybridMultilevel"/>
    <w:tmpl w:val="B29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C299B"/>
    <w:multiLevelType w:val="hybridMultilevel"/>
    <w:tmpl w:val="AC7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47E85"/>
    <w:multiLevelType w:val="hybridMultilevel"/>
    <w:tmpl w:val="F7EE0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D833CC"/>
    <w:multiLevelType w:val="hybridMultilevel"/>
    <w:tmpl w:val="4E3EF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687F5B"/>
    <w:multiLevelType w:val="hybridMultilevel"/>
    <w:tmpl w:val="6D34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A5B75"/>
    <w:multiLevelType w:val="hybridMultilevel"/>
    <w:tmpl w:val="FFF03C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A440DEE">
      <w:start w:val="1"/>
      <w:numFmt w:val="bullet"/>
      <w:lvlText w:val=""/>
      <w:lvlJc w:val="left"/>
      <w:pPr>
        <w:ind w:left="720" w:hanging="360"/>
      </w:pPr>
      <w:rPr>
        <w:rFonts w:ascii="Symbol" w:hAnsi="Symbol" w:hint="default"/>
        <w:sz w:val="24"/>
        <w:szCs w:val="24"/>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D119BD"/>
    <w:multiLevelType w:val="hybridMultilevel"/>
    <w:tmpl w:val="5018F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3D947D4"/>
    <w:multiLevelType w:val="hybridMultilevel"/>
    <w:tmpl w:val="0340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B012A"/>
    <w:multiLevelType w:val="hybridMultilevel"/>
    <w:tmpl w:val="BBFE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76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691339">
    <w:abstractNumId w:val="12"/>
  </w:num>
  <w:num w:numId="3" w16cid:durableId="361246752">
    <w:abstractNumId w:val="9"/>
  </w:num>
  <w:num w:numId="4" w16cid:durableId="118327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5691380">
    <w:abstractNumId w:val="0"/>
  </w:num>
  <w:num w:numId="6" w16cid:durableId="2110004080">
    <w:abstractNumId w:val="1"/>
  </w:num>
  <w:num w:numId="7" w16cid:durableId="808473454">
    <w:abstractNumId w:val="3"/>
  </w:num>
  <w:num w:numId="8" w16cid:durableId="1249728988">
    <w:abstractNumId w:val="13"/>
  </w:num>
  <w:num w:numId="9" w16cid:durableId="378673768">
    <w:abstractNumId w:val="7"/>
  </w:num>
  <w:num w:numId="10" w16cid:durableId="472331295">
    <w:abstractNumId w:val="5"/>
  </w:num>
  <w:num w:numId="11" w16cid:durableId="1790735525">
    <w:abstractNumId w:val="8"/>
  </w:num>
  <w:num w:numId="12" w16cid:durableId="1468817501">
    <w:abstractNumId w:val="2"/>
  </w:num>
  <w:num w:numId="13" w16cid:durableId="93136198">
    <w:abstractNumId w:val="6"/>
  </w:num>
  <w:num w:numId="14" w16cid:durableId="221795776">
    <w:abstractNumId w:val="10"/>
  </w:num>
  <w:num w:numId="15" w16cid:durableId="1604729100">
    <w:abstractNumId w:val="11"/>
  </w:num>
  <w:num w:numId="16" w16cid:durableId="1912346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A1"/>
    <w:rsid w:val="00016682"/>
    <w:rsid w:val="00034064"/>
    <w:rsid w:val="0003650A"/>
    <w:rsid w:val="00036E40"/>
    <w:rsid w:val="000570A7"/>
    <w:rsid w:val="0007576D"/>
    <w:rsid w:val="000E3E30"/>
    <w:rsid w:val="000F60DB"/>
    <w:rsid w:val="00105334"/>
    <w:rsid w:val="0012021A"/>
    <w:rsid w:val="00132A81"/>
    <w:rsid w:val="001357B7"/>
    <w:rsid w:val="00174C8E"/>
    <w:rsid w:val="00175A36"/>
    <w:rsid w:val="00176DE7"/>
    <w:rsid w:val="0018303F"/>
    <w:rsid w:val="001C365C"/>
    <w:rsid w:val="001D10FD"/>
    <w:rsid w:val="001F51D5"/>
    <w:rsid w:val="00272A78"/>
    <w:rsid w:val="002D2835"/>
    <w:rsid w:val="003029DD"/>
    <w:rsid w:val="00303D22"/>
    <w:rsid w:val="00306EEE"/>
    <w:rsid w:val="0031080B"/>
    <w:rsid w:val="00312C94"/>
    <w:rsid w:val="0034599E"/>
    <w:rsid w:val="0034796E"/>
    <w:rsid w:val="0037157E"/>
    <w:rsid w:val="00372103"/>
    <w:rsid w:val="003D69B5"/>
    <w:rsid w:val="003E22F7"/>
    <w:rsid w:val="003F4830"/>
    <w:rsid w:val="003F7CD1"/>
    <w:rsid w:val="00416FA2"/>
    <w:rsid w:val="00427A3F"/>
    <w:rsid w:val="00445A12"/>
    <w:rsid w:val="00445C38"/>
    <w:rsid w:val="00455196"/>
    <w:rsid w:val="00457FCD"/>
    <w:rsid w:val="00497AE9"/>
    <w:rsid w:val="004B58B9"/>
    <w:rsid w:val="004F3E31"/>
    <w:rsid w:val="005848FB"/>
    <w:rsid w:val="00585623"/>
    <w:rsid w:val="005B3719"/>
    <w:rsid w:val="005D579F"/>
    <w:rsid w:val="005E6F4D"/>
    <w:rsid w:val="00602804"/>
    <w:rsid w:val="0060494B"/>
    <w:rsid w:val="00630965"/>
    <w:rsid w:val="006678BC"/>
    <w:rsid w:val="00682CD9"/>
    <w:rsid w:val="006A2056"/>
    <w:rsid w:val="006B6024"/>
    <w:rsid w:val="00734242"/>
    <w:rsid w:val="00747BA5"/>
    <w:rsid w:val="007551CD"/>
    <w:rsid w:val="00783FC7"/>
    <w:rsid w:val="00787A61"/>
    <w:rsid w:val="00796748"/>
    <w:rsid w:val="007971F7"/>
    <w:rsid w:val="007A2849"/>
    <w:rsid w:val="007F0FAD"/>
    <w:rsid w:val="007F2490"/>
    <w:rsid w:val="00833CA2"/>
    <w:rsid w:val="0083540E"/>
    <w:rsid w:val="00856C65"/>
    <w:rsid w:val="00876B0E"/>
    <w:rsid w:val="00893BED"/>
    <w:rsid w:val="008C360B"/>
    <w:rsid w:val="008F1C13"/>
    <w:rsid w:val="008F4FA1"/>
    <w:rsid w:val="00915049"/>
    <w:rsid w:val="00945C08"/>
    <w:rsid w:val="0096634D"/>
    <w:rsid w:val="0099454F"/>
    <w:rsid w:val="009A77F3"/>
    <w:rsid w:val="009B1BA4"/>
    <w:rsid w:val="00A0069B"/>
    <w:rsid w:val="00A245AA"/>
    <w:rsid w:val="00A30ACB"/>
    <w:rsid w:val="00A70339"/>
    <w:rsid w:val="00A767DA"/>
    <w:rsid w:val="00A97232"/>
    <w:rsid w:val="00AA72BF"/>
    <w:rsid w:val="00AE296C"/>
    <w:rsid w:val="00B04740"/>
    <w:rsid w:val="00B15402"/>
    <w:rsid w:val="00B27228"/>
    <w:rsid w:val="00B32864"/>
    <w:rsid w:val="00B6012E"/>
    <w:rsid w:val="00B6109E"/>
    <w:rsid w:val="00B66AC8"/>
    <w:rsid w:val="00B87EF5"/>
    <w:rsid w:val="00B9460B"/>
    <w:rsid w:val="00B94D9E"/>
    <w:rsid w:val="00BA1262"/>
    <w:rsid w:val="00BF2253"/>
    <w:rsid w:val="00BF68AD"/>
    <w:rsid w:val="00C0319F"/>
    <w:rsid w:val="00C3213D"/>
    <w:rsid w:val="00C434A1"/>
    <w:rsid w:val="00C57920"/>
    <w:rsid w:val="00C57AD1"/>
    <w:rsid w:val="00C70C81"/>
    <w:rsid w:val="00C87926"/>
    <w:rsid w:val="00CA0BAE"/>
    <w:rsid w:val="00CE1490"/>
    <w:rsid w:val="00CE4EB9"/>
    <w:rsid w:val="00D259B9"/>
    <w:rsid w:val="00D53582"/>
    <w:rsid w:val="00D64439"/>
    <w:rsid w:val="00D72642"/>
    <w:rsid w:val="00D8295D"/>
    <w:rsid w:val="00DE01BA"/>
    <w:rsid w:val="00DF4B64"/>
    <w:rsid w:val="00E15C5A"/>
    <w:rsid w:val="00E17897"/>
    <w:rsid w:val="00E4193F"/>
    <w:rsid w:val="00E61D2E"/>
    <w:rsid w:val="00E85253"/>
    <w:rsid w:val="00E907E2"/>
    <w:rsid w:val="00EC1D68"/>
    <w:rsid w:val="00ED7E9A"/>
    <w:rsid w:val="00EE4D89"/>
    <w:rsid w:val="00EE5F9E"/>
    <w:rsid w:val="00F23CA4"/>
    <w:rsid w:val="00F7674B"/>
    <w:rsid w:val="00F87412"/>
    <w:rsid w:val="00FA4B63"/>
    <w:rsid w:val="00FE6CAF"/>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E79B"/>
  <w15:chartTrackingRefBased/>
  <w15:docId w15:val="{4EC9E5F2-F532-4585-9AF0-C989D2B8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4A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55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96"/>
    <w:rPr>
      <w:rFonts w:ascii="Calibri" w:eastAsia="Calibri" w:hAnsi="Calibri" w:cs="Times New Roman"/>
    </w:rPr>
  </w:style>
  <w:style w:type="paragraph" w:styleId="Footer">
    <w:name w:val="footer"/>
    <w:basedOn w:val="Normal"/>
    <w:link w:val="FooterChar"/>
    <w:uiPriority w:val="99"/>
    <w:unhideWhenUsed/>
    <w:rsid w:val="0045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96"/>
    <w:rPr>
      <w:rFonts w:ascii="Calibri" w:eastAsia="Calibri" w:hAnsi="Calibri" w:cs="Times New Roman"/>
    </w:rPr>
  </w:style>
  <w:style w:type="paragraph" w:styleId="BalloonText">
    <w:name w:val="Balloon Text"/>
    <w:basedOn w:val="Normal"/>
    <w:link w:val="BalloonTextChar"/>
    <w:uiPriority w:val="99"/>
    <w:semiHidden/>
    <w:unhideWhenUsed/>
    <w:rsid w:val="00455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96"/>
    <w:rPr>
      <w:rFonts w:ascii="Segoe UI" w:eastAsia="Calibri" w:hAnsi="Segoe UI" w:cs="Segoe UI"/>
      <w:sz w:val="18"/>
      <w:szCs w:val="18"/>
    </w:rPr>
  </w:style>
  <w:style w:type="paragraph" w:styleId="ListParagraph">
    <w:name w:val="List Paragraph"/>
    <w:basedOn w:val="Normal"/>
    <w:uiPriority w:val="34"/>
    <w:qFormat/>
    <w:rsid w:val="0045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3279">
      <w:bodyDiv w:val="1"/>
      <w:marLeft w:val="0"/>
      <w:marRight w:val="0"/>
      <w:marTop w:val="0"/>
      <w:marBottom w:val="0"/>
      <w:divBdr>
        <w:top w:val="none" w:sz="0" w:space="0" w:color="auto"/>
        <w:left w:val="none" w:sz="0" w:space="0" w:color="auto"/>
        <w:bottom w:val="none" w:sz="0" w:space="0" w:color="auto"/>
        <w:right w:val="none" w:sz="0" w:space="0" w:color="auto"/>
      </w:divBdr>
    </w:div>
    <w:div w:id="11955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a:t>
            </a:r>
            <a:r>
              <a:rPr lang="en-US" sz="1100"/>
              <a:t>ercent of CCBHC Patients Reporting Positive Outcomes  </a:t>
            </a:r>
          </a:p>
          <a:p>
            <a:pPr algn="ctr">
              <a:defRPr/>
            </a:pPr>
            <a:r>
              <a:rPr lang="en-US" sz="1100"/>
              <a:t>Baseline and 6-month Reassessment (N=1,733)</a:t>
            </a:r>
          </a:p>
        </c:rich>
      </c:tx>
      <c:layout>
        <c:manualLayout>
          <c:xMode val="edge"/>
          <c:yMode val="edge"/>
          <c:x val="0.23511979271821792"/>
          <c:y val="1.821027690687600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'Limited Data'!$D$39</c:f>
              <c:strCache>
                <c:ptCount val="1"/>
                <c:pt idx="0">
                  <c:v>Positive Baseline</c:v>
                </c:pt>
              </c:strCache>
            </c:strRef>
          </c:tx>
          <c:spPr>
            <a:solidFill>
              <a:srgbClr val="9063CD"/>
            </a:solidFill>
            <a:ln>
              <a:noFill/>
            </a:ln>
            <a:effectLst/>
          </c:spPr>
          <c:invertIfNegative val="0"/>
          <c:cat>
            <c:strRef>
              <c:f>('Limited Data'!$C$41,'Limited Data'!$C$46:$C$49)</c:f>
              <c:strCache>
                <c:ptCount val="5"/>
                <c:pt idx="0">
                  <c:v>Functioning in everyday life</c:v>
                </c:pt>
                <c:pt idx="1">
                  <c:v>Retained in the community</c:v>
                </c:pt>
                <c:pt idx="2">
                  <c:v>Had a stable place to live</c:v>
                </c:pt>
                <c:pt idx="3">
                  <c:v>Attending school/ employed/ retired</c:v>
                </c:pt>
                <c:pt idx="4">
                  <c:v>Not involved with criminal justice </c:v>
                </c:pt>
              </c:strCache>
              <c:extLst/>
            </c:strRef>
          </c:cat>
          <c:val>
            <c:numRef>
              <c:f>('Limited Data'!$D$41,'Limited Data'!$D$46:$D$49)</c:f>
              <c:numCache>
                <c:formatCode>0.0%</c:formatCode>
                <c:ptCount val="5"/>
                <c:pt idx="0">
                  <c:v>0.42989036353144838</c:v>
                </c:pt>
                <c:pt idx="1">
                  <c:v>0.76184971098265897</c:v>
                </c:pt>
                <c:pt idx="2">
                  <c:v>0.5446635730858469</c:v>
                </c:pt>
                <c:pt idx="3">
                  <c:v>0.4146778042959427</c:v>
                </c:pt>
                <c:pt idx="4">
                  <c:v>0.97096399535423927</c:v>
                </c:pt>
              </c:numCache>
              <c:extLst/>
            </c:numRef>
          </c:val>
          <c:extLst>
            <c:ext xmlns:c16="http://schemas.microsoft.com/office/drawing/2014/chart" uri="{C3380CC4-5D6E-409C-BE32-E72D297353CC}">
              <c16:uniqueId val="{00000000-ED7D-48B4-84DC-E111BB827E9F}"/>
            </c:ext>
          </c:extLst>
        </c:ser>
        <c:ser>
          <c:idx val="2"/>
          <c:order val="2"/>
          <c:tx>
            <c:strRef>
              <c:f>'Limited Data'!$E$39</c:f>
              <c:strCache>
                <c:ptCount val="1"/>
                <c:pt idx="0">
                  <c:v>Positive 2nd Interview</c:v>
                </c:pt>
              </c:strCache>
            </c:strRef>
          </c:tx>
          <c:spPr>
            <a:solidFill>
              <a:srgbClr val="00B388"/>
            </a:solidFill>
            <a:ln>
              <a:noFill/>
            </a:ln>
            <a:effectLst/>
          </c:spPr>
          <c:invertIfNegative val="0"/>
          <c:cat>
            <c:strRef>
              <c:f>('Limited Data'!$C$41,'Limited Data'!$C$46:$C$49)</c:f>
              <c:strCache>
                <c:ptCount val="5"/>
                <c:pt idx="0">
                  <c:v>Functioning in everyday life</c:v>
                </c:pt>
                <c:pt idx="1">
                  <c:v>Retained in the community</c:v>
                </c:pt>
                <c:pt idx="2">
                  <c:v>Had a stable place to live</c:v>
                </c:pt>
                <c:pt idx="3">
                  <c:v>Attending school/ employed/ retired</c:v>
                </c:pt>
                <c:pt idx="4">
                  <c:v>Not involved with criminal justice </c:v>
                </c:pt>
              </c:strCache>
              <c:extLst/>
            </c:strRef>
          </c:cat>
          <c:val>
            <c:numRef>
              <c:f>('Limited Data'!$E$41,'Limited Data'!$E$46:$E$49)</c:f>
              <c:numCache>
                <c:formatCode>0.0%</c:formatCode>
                <c:ptCount val="5"/>
                <c:pt idx="0">
                  <c:v>0.60819388343912295</c:v>
                </c:pt>
                <c:pt idx="1">
                  <c:v>0.88497109826589593</c:v>
                </c:pt>
                <c:pt idx="2">
                  <c:v>0.57192575406032486</c:v>
                </c:pt>
                <c:pt idx="3">
                  <c:v>0.5178997613365155</c:v>
                </c:pt>
                <c:pt idx="4">
                  <c:v>0.99535423925667832</c:v>
                </c:pt>
              </c:numCache>
              <c:extLst/>
            </c:numRef>
          </c:val>
          <c:extLst>
            <c:ext xmlns:c16="http://schemas.microsoft.com/office/drawing/2014/chart" uri="{C3380CC4-5D6E-409C-BE32-E72D297353CC}">
              <c16:uniqueId val="{00000001-ED7D-48B4-84DC-E111BB827E9F}"/>
            </c:ext>
          </c:extLst>
        </c:ser>
        <c:dLbls>
          <c:showLegendKey val="0"/>
          <c:showVal val="0"/>
          <c:showCatName val="0"/>
          <c:showSerName val="0"/>
          <c:showPercent val="0"/>
          <c:showBubbleSize val="0"/>
        </c:dLbls>
        <c:gapWidth val="219"/>
        <c:axId val="1494325983"/>
        <c:axId val="1494328063"/>
        <c:extLst>
          <c:ext xmlns:c15="http://schemas.microsoft.com/office/drawing/2012/chart" uri="{02D57815-91ED-43cb-92C2-25804820EDAC}">
            <c15:filteredBarSeries>
              <c15:ser>
                <c:idx val="0"/>
                <c:order val="0"/>
                <c:tx>
                  <c:strRef>
                    <c:extLst>
                      <c:ext uri="{02D57815-91ED-43cb-92C2-25804820EDAC}">
                        <c15:formulaRef>
                          <c15:sqref>'Limited Data'!$C$39</c15:sqref>
                        </c15:formulaRef>
                      </c:ext>
                    </c:extLst>
                    <c:strCache>
                      <c:ptCount val="1"/>
                      <c:pt idx="0">
                        <c:v>National Outcome Measures (NOMs)</c:v>
                      </c:pt>
                    </c:strCache>
                  </c:strRef>
                </c:tx>
                <c:spPr>
                  <a:solidFill>
                    <a:schemeClr val="accent2"/>
                  </a:solidFill>
                  <a:ln>
                    <a:noFill/>
                  </a:ln>
                  <a:effectLst/>
                </c:spPr>
                <c:invertIfNegative val="0"/>
                <c:cat>
                  <c:strRef>
                    <c:extLst>
                      <c:ext uri="{02D57815-91ED-43cb-92C2-25804820EDAC}">
                        <c15:formulaRef>
                          <c15:sqref>('Limited Data'!$C$41,'Limited Data'!$C$46:$C$49)</c15:sqref>
                        </c15:formulaRef>
                      </c:ext>
                    </c:extLst>
                    <c:strCache>
                      <c:ptCount val="5"/>
                      <c:pt idx="0">
                        <c:v>Functioning in everyday life</c:v>
                      </c:pt>
                      <c:pt idx="1">
                        <c:v>Retained in the community</c:v>
                      </c:pt>
                      <c:pt idx="2">
                        <c:v>Had a stable place to live</c:v>
                      </c:pt>
                      <c:pt idx="3">
                        <c:v>Attending school/ employed/ retired</c:v>
                      </c:pt>
                      <c:pt idx="4">
                        <c:v>Not involved with criminal justice </c:v>
                      </c:pt>
                    </c:strCache>
                  </c:strRef>
                </c:cat>
                <c:val>
                  <c:numRef>
                    <c:extLst>
                      <c:ext uri="{02D57815-91ED-43cb-92C2-25804820EDAC}">
                        <c15:formulaRef>
                          <c15:sqref>('Limited Data'!$C$41,'Limited Data'!$C$46:$C$49)</c15:sqref>
                        </c15:formulaRef>
                      </c:ext>
                    </c:extLst>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ED7D-48B4-84DC-E111BB827E9F}"/>
                  </c:ext>
                </c:extLst>
              </c15:ser>
            </c15:filteredBarSeries>
          </c:ext>
        </c:extLst>
      </c:barChart>
      <c:catAx>
        <c:axId val="149432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328063"/>
        <c:crosses val="autoZero"/>
        <c:auto val="1"/>
        <c:lblAlgn val="ctr"/>
        <c:lblOffset val="100"/>
        <c:noMultiLvlLbl val="0"/>
      </c:catAx>
      <c:valAx>
        <c:axId val="14943280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325983"/>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76acdbf3d38552f91a5883d1bad9ea28">
  <xsd:schema xmlns:xsd="http://www.w3.org/2001/XMLSchema" xmlns:xs="http://www.w3.org/2001/XMLSchema" xmlns:p="http://schemas.microsoft.com/office/2006/metadata/properties" xmlns:ns2="316ba397-6235-43cc-be9d-89c39d531d8e" targetNamespace="http://schemas.microsoft.com/office/2006/metadata/properties" ma:root="true" ma:fieldsID="24b82c1ca61dd34b3d8f725de334fc15"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27163-13EA-4E39-BC58-3DBFAB603B34}"/>
</file>

<file path=customXml/itemProps2.xml><?xml version="1.0" encoding="utf-8"?>
<ds:datastoreItem xmlns:ds="http://schemas.openxmlformats.org/officeDocument/2006/customXml" ds:itemID="{A29DDFB1-CE6C-4D4A-A9CE-C888DF560343}"/>
</file>

<file path=customXml/itemProps3.xml><?xml version="1.0" encoding="utf-8"?>
<ds:datastoreItem xmlns:ds="http://schemas.openxmlformats.org/officeDocument/2006/customXml" ds:itemID="{FAFB35EC-7278-4E13-AD1F-93DECDA6E774}"/>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Community Behavioral Health Clinic (CCBHC) Update (April 19 2023)</dc:title>
  <dc:subject/>
  <dc:creator>Shane Messer</dc:creator>
  <cp:keywords/>
  <dc:description/>
  <cp:lastModifiedBy>VanDyke, Misty N</cp:lastModifiedBy>
  <cp:revision>3</cp:revision>
  <cp:lastPrinted>2022-12-02T16:16:00Z</cp:lastPrinted>
  <dcterms:created xsi:type="dcterms:W3CDTF">2023-04-19T15:19:00Z</dcterms:created>
  <dcterms:modified xsi:type="dcterms:W3CDTF">2025-06-03T12:21:00Z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