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000000">
        <w:rPr>
          <w:b/>
        </w:rPr>
      </w:r>
      <w:r w:rsidR="00000000">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4"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5"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000000">
        <w:rPr>
          <w:b/>
        </w:rPr>
      </w:r>
      <w:r w:rsidR="00000000">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w:t>
      </w:r>
      <w:proofErr w:type="gramStart"/>
      <w:r w:rsidR="00234A45" w:rsidRPr="006F509D">
        <w:t>and also</w:t>
      </w:r>
      <w:proofErr w:type="gramEnd"/>
      <w:r w:rsidR="00234A45" w:rsidRPr="006F509D">
        <w:t xml:space="preserve">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6"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w:t>
      </w:r>
      <w:proofErr w:type="gramStart"/>
      <w:r w:rsidRPr="2135C175">
        <w:rPr>
          <w:lang w:val="en-US"/>
        </w:rPr>
        <w:t>activities</w:t>
      </w:r>
      <w:r w:rsidR="00272CCB" w:rsidRPr="2135C175">
        <w:rPr>
          <w:lang w:val="en-US"/>
        </w:rPr>
        <w:t>;</w:t>
      </w:r>
      <w:proofErr w:type="gramEnd"/>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 xml:space="preserve">The name of the issuing state agency and the applicable office or </w:t>
      </w:r>
      <w:proofErr w:type="gramStart"/>
      <w:r w:rsidRPr="00CC25D6">
        <w:rPr>
          <w:szCs w:val="22"/>
        </w:rPr>
        <w:t>program;</w:t>
      </w:r>
      <w:proofErr w:type="gramEnd"/>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 xml:space="preserve">Identifying name and </w:t>
      </w:r>
      <w:proofErr w:type="gramStart"/>
      <w:r w:rsidRPr="00CC25D6">
        <w:rPr>
          <w:szCs w:val="22"/>
        </w:rPr>
        <w:t>number;</w:t>
      </w:r>
      <w:proofErr w:type="gramEnd"/>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 xml:space="preserve">tarting and ending </w:t>
      </w:r>
      <w:proofErr w:type="gramStart"/>
      <w:r w:rsidR="00742688" w:rsidRPr="00CC25D6">
        <w:rPr>
          <w:szCs w:val="22"/>
        </w:rPr>
        <w:t>date;</w:t>
      </w:r>
      <w:proofErr w:type="gramEnd"/>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 xml:space="preserve">otal dollar </w:t>
      </w:r>
      <w:proofErr w:type="gramStart"/>
      <w:r w:rsidR="00742688" w:rsidRPr="00CC25D6">
        <w:rPr>
          <w:szCs w:val="22"/>
        </w:rPr>
        <w:t>amount;</w:t>
      </w:r>
      <w:proofErr w:type="gramEnd"/>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w:t>
      </w:r>
      <w:proofErr w:type="gramStart"/>
      <w:r w:rsidR="00350F5F" w:rsidRPr="00350F5F">
        <w:t>in excess of</w:t>
      </w:r>
      <w:proofErr w:type="gramEnd"/>
      <w:r w:rsidR="00350F5F" w:rsidRPr="00350F5F">
        <w:t xml:space="preserve">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w:t>
      </w:r>
      <w:proofErr w:type="gramStart"/>
      <w:r w:rsidR="00EF0974" w:rsidRPr="00E11C87">
        <w:rPr>
          <w:szCs w:val="22"/>
        </w:rPr>
        <w:t>entering into</w:t>
      </w:r>
      <w:proofErr w:type="gramEnd"/>
      <w:r w:rsidR="00EF0974" w:rsidRPr="00E11C87">
        <w:rPr>
          <w:szCs w:val="22"/>
        </w:rPr>
        <w:t xml:space="preserve">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w:t>
      </w:r>
      <w:proofErr w:type="gramStart"/>
      <w:r w:rsidRPr="00494B64">
        <w:t>classification, or</w:t>
      </w:r>
      <w:proofErr w:type="gramEnd"/>
      <w:r w:rsidRPr="00494B64">
        <w:t xml:space="preserve">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proofErr w:type="gramStart"/>
      <w:r w:rsidR="00B07A8A" w:rsidRPr="00CC25D6">
        <w:rPr>
          <w:szCs w:val="22"/>
        </w:rPr>
        <w:t>S</w:t>
      </w:r>
      <w:r w:rsidRPr="00CC25D6">
        <w:rPr>
          <w:szCs w:val="22"/>
        </w:rPr>
        <w:t>tate</w:t>
      </w:r>
      <w:proofErr w:type="gramEnd"/>
      <w:r w:rsidRPr="00CC25D6">
        <w:rPr>
          <w:szCs w:val="22"/>
        </w:rPr>
        <w:t xml:space="preserv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w:t>
      </w:r>
      <w:proofErr w:type="gramStart"/>
      <w:r w:rsidRPr="2135C175">
        <w:rPr>
          <w:lang w:val="en-US"/>
        </w:rPr>
        <w:t>actually furnished</w:t>
      </w:r>
      <w:proofErr w:type="gramEnd"/>
      <w:r w:rsidRPr="2135C175">
        <w:rPr>
          <w:lang w:val="en-US"/>
        </w:rPr>
        <w:t xml:space="preserve">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proofErr w:type="gramStart"/>
      <w:r w:rsidR="00C20CA1">
        <w:rPr>
          <w:szCs w:val="22"/>
        </w:rPr>
        <w:t>Provider</w:t>
      </w:r>
      <w:proofErr w:type="gramEnd"/>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w:t>
      </w:r>
      <w:proofErr w:type="gramStart"/>
      <w:r w:rsidRPr="00CC25D6">
        <w:rPr>
          <w:szCs w:val="22"/>
        </w:rPr>
        <w:t>as a result of</w:t>
      </w:r>
      <w:proofErr w:type="gramEnd"/>
      <w:r w:rsidRPr="00CC25D6">
        <w:rPr>
          <w:szCs w:val="22"/>
        </w:rPr>
        <w:t xml:space="preserve">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7"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8"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 xml:space="preserve">Fingerprinting for all criminal record </w:t>
      </w:r>
      <w:proofErr w:type="gramStart"/>
      <w:r w:rsidRPr="2135C175">
        <w:rPr>
          <w:lang w:val="en-US"/>
        </w:rPr>
        <w:t>checks;</w:t>
      </w:r>
      <w:proofErr w:type="gramEnd"/>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roofErr w:type="gramStart"/>
      <w:r w:rsidRPr="2135C175">
        <w:rPr>
          <w:lang w:val="en-US"/>
        </w:rPr>
        <w:t>);</w:t>
      </w:r>
      <w:proofErr w:type="gramEnd"/>
    </w:p>
    <w:p w14:paraId="07FDE6DA" w14:textId="0BDB47F0" w:rsidR="008663C9" w:rsidRPr="00CC25D6" w:rsidRDefault="003D4124" w:rsidP="00530785">
      <w:pPr>
        <w:pStyle w:val="Heading4"/>
        <w:numPr>
          <w:ilvl w:val="3"/>
          <w:numId w:val="36"/>
        </w:numPr>
        <w:rPr>
          <w:szCs w:val="22"/>
        </w:rPr>
      </w:pPr>
      <w:r w:rsidRPr="2135C175">
        <w:rPr>
          <w:lang w:val="en-US"/>
        </w:rPr>
        <w:t xml:space="preserve">Federal criminal records </w:t>
      </w:r>
      <w:proofErr w:type="gramStart"/>
      <w:r w:rsidRPr="2135C175">
        <w:rPr>
          <w:lang w:val="en-US"/>
        </w:rPr>
        <w:t>checks</w:t>
      </w:r>
      <w:proofErr w:type="gramEnd"/>
      <w:r w:rsidRPr="2135C175">
        <w:rPr>
          <w:lang w:val="en-US"/>
        </w:rPr>
        <w:t xml:space="preserve">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w:t>
      </w:r>
      <w:proofErr w:type="gramStart"/>
      <w:r w:rsidRPr="2135C175">
        <w:rPr>
          <w:lang w:val="en-US"/>
        </w:rPr>
        <w:t>particular information</w:t>
      </w:r>
      <w:proofErr w:type="gramEnd"/>
      <w:r w:rsidRPr="2135C175">
        <w:rPr>
          <w:lang w:val="en-US"/>
        </w:rPr>
        <w:t>.</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w:t>
      </w:r>
      <w:proofErr w:type="gramStart"/>
      <w:r w:rsidRPr="2135C175">
        <w:rPr>
          <w:lang w:val="en-US"/>
        </w:rPr>
        <w:t>law;</w:t>
      </w:r>
      <w:proofErr w:type="gramEnd"/>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xml:space="preserve">, including breaches of unsecured PHI as required at 45 CFR §164.410, and any security </w:t>
      </w:r>
      <w:proofErr w:type="gramStart"/>
      <w:r w:rsidRPr="2135C175">
        <w:rPr>
          <w:rFonts w:eastAsia="Calibri"/>
          <w:lang w:val="en-US"/>
        </w:rPr>
        <w:t>incident;</w:t>
      </w:r>
      <w:bookmarkStart w:id="32" w:name="_Hlk56773734"/>
      <w:proofErr w:type="gramEnd"/>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w:t>
      </w:r>
      <w:proofErr w:type="gramStart"/>
      <w:r w:rsidRPr="2135C175">
        <w:rPr>
          <w:rFonts w:eastAsia="Calibri"/>
          <w:lang w:val="en-US"/>
        </w:rPr>
        <w:t>HIPAA;</w:t>
      </w:r>
      <w:proofErr w:type="gramEnd"/>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 xml:space="preserve">or response to a </w:t>
      </w:r>
      <w:proofErr w:type="gramStart"/>
      <w:r w:rsidRPr="2135C175">
        <w:rPr>
          <w:rFonts w:eastAsia="Calibri"/>
          <w:lang w:val="en-US"/>
        </w:rPr>
        <w:t>breach;</w:t>
      </w:r>
      <w:bookmarkStart w:id="33" w:name="_Hlk56774276"/>
      <w:proofErr w:type="gramEnd"/>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proofErr w:type="gramStart"/>
      <w:r w:rsidRPr="2135C175">
        <w:rPr>
          <w:rFonts w:eastAsia="Calibri"/>
          <w:lang w:val="en-US"/>
        </w:rPr>
        <w:t>);</w:t>
      </w:r>
      <w:proofErr w:type="gramEnd"/>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w:t>
      </w:r>
      <w:proofErr w:type="gramStart"/>
      <w:r w:rsidR="00EC16B8" w:rsidRPr="2135C175">
        <w:rPr>
          <w:rFonts w:eastAsia="Calibri"/>
          <w:lang w:val="en-US"/>
        </w:rPr>
        <w:t>obligations</w:t>
      </w:r>
      <w:r w:rsidRPr="2135C175">
        <w:rPr>
          <w:rFonts w:eastAsia="Calibri"/>
          <w:lang w:val="en-US"/>
        </w:rPr>
        <w:t>;</w:t>
      </w:r>
      <w:bookmarkStart w:id="34" w:name="_Hlk56777199"/>
      <w:proofErr w:type="gramEnd"/>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w:t>
      </w:r>
      <w:proofErr w:type="gramStart"/>
      <w:r w:rsidRPr="2135C175">
        <w:rPr>
          <w:rFonts w:eastAsia="Calibri"/>
          <w:lang w:val="en-US"/>
        </w:rPr>
        <w:t>obligations;</w:t>
      </w:r>
      <w:proofErr w:type="gramEnd"/>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 xml:space="preserve">45 CFR §164.528 </w:t>
      </w:r>
      <w:proofErr w:type="gramStart"/>
      <w:r w:rsidRPr="2135C175">
        <w:rPr>
          <w:rFonts w:eastAsia="Calibri"/>
          <w:lang w:val="en-US"/>
        </w:rPr>
        <w:t>obligations;</w:t>
      </w:r>
      <w:bookmarkStart w:id="35" w:name="_Hlk56777408"/>
      <w:proofErr w:type="gramEnd"/>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proofErr w:type="gramStart"/>
      <w:r w:rsidR="00AD536A" w:rsidRPr="2135C175">
        <w:rPr>
          <w:b/>
          <w:lang w:val="en-US"/>
        </w:rPr>
        <w:t>5.3</w:t>
      </w:r>
      <w:r w:rsidRPr="2135C175">
        <w:rPr>
          <w:lang w:val="en-US"/>
        </w:rPr>
        <w:t>;</w:t>
      </w:r>
      <w:proofErr w:type="gramEnd"/>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 xml:space="preserve">For archival </w:t>
      </w:r>
      <w:proofErr w:type="gramStart"/>
      <w:r w:rsidRPr="2135C175">
        <w:rPr>
          <w:lang w:val="en-US"/>
        </w:rPr>
        <w:t>purposes;</w:t>
      </w:r>
      <w:proofErr w:type="gramEnd"/>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w:t>
      </w:r>
      <w:proofErr w:type="gramStart"/>
      <w:r w:rsidRPr="2135C175">
        <w:rPr>
          <w:lang w:val="en-US"/>
        </w:rPr>
        <w:t>responsibilities;</w:t>
      </w:r>
      <w:proofErr w:type="gramEnd"/>
      <w:r w:rsidRPr="2135C175">
        <w:rPr>
          <w:lang w:val="en-US"/>
        </w:rPr>
        <w:t xml:space="preserve">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w:t>
      </w:r>
      <w:proofErr w:type="gramStart"/>
      <w:r w:rsidRPr="2135C175">
        <w:rPr>
          <w:rFonts w:eastAsia="Calibri"/>
          <w:lang w:val="en-US"/>
        </w:rPr>
        <w:t>breached;</w:t>
      </w:r>
      <w:proofErr w:type="gramEnd"/>
      <w:r w:rsidRPr="2135C175">
        <w:rPr>
          <w:rFonts w:eastAsia="Calibri"/>
          <w:lang w:val="en-US"/>
        </w:rPr>
        <w:t xml:space="preserve">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health care operations (as defined in 45 C.F.R. §164.501</w:t>
      </w:r>
      <w:proofErr w:type="gramStart"/>
      <w:r w:rsidRPr="2135C175">
        <w:rPr>
          <w:rFonts w:eastAsia="Calibri"/>
          <w:lang w:val="en-US"/>
        </w:rPr>
        <w:t>);</w:t>
      </w:r>
      <w:proofErr w:type="gramEnd"/>
      <w:r w:rsidRPr="2135C175">
        <w:rPr>
          <w:rFonts w:eastAsia="Calibri"/>
          <w:lang w:val="en-US"/>
        </w:rPr>
        <w:t xml:space="preserve">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w:t>
      </w:r>
      <w:proofErr w:type="gramStart"/>
      <w:r w:rsidR="008A11BE" w:rsidRPr="00CC25D6">
        <w:rPr>
          <w:szCs w:val="22"/>
        </w:rPr>
        <w:t>systems</w:t>
      </w:r>
      <w:proofErr w:type="gramEnd"/>
      <w:r w:rsidR="008A11BE" w:rsidRPr="00CC25D6">
        <w:rPr>
          <w:szCs w:val="22"/>
        </w:rPr>
        <w:t xml:space="preserve">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19"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 xml:space="preserve">Noncompliance </w:t>
      </w:r>
      <w:proofErr w:type="gramStart"/>
      <w:r w:rsidRPr="2135C175">
        <w:rPr>
          <w:lang w:val="en-US"/>
        </w:rPr>
        <w:t>as a result of</w:t>
      </w:r>
      <w:proofErr w:type="gramEnd"/>
      <w:r w:rsidRPr="2135C175">
        <w:rPr>
          <w:lang w:val="en-US"/>
        </w:rPr>
        <w:t xml:space="preserve">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 xml:space="preserve">er imposing the financial penalties. In the event of </w:t>
      </w:r>
      <w:proofErr w:type="gramStart"/>
      <w:r w:rsidRPr="00CA45C6">
        <w:rPr>
          <w:szCs w:val="22"/>
        </w:rPr>
        <w:t>nonpayment</w:t>
      </w:r>
      <w:proofErr w:type="gramEnd"/>
      <w:r w:rsidRPr="00CA45C6">
        <w:rPr>
          <w:szCs w:val="22"/>
        </w:rPr>
        <w:t xml:space="preserve">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proofErr w:type="gramStart"/>
      <w:r w:rsidR="00B23CFF" w:rsidRPr="00CA45C6">
        <w:rPr>
          <w:szCs w:val="22"/>
        </w:rPr>
        <w:t>N</w:t>
      </w:r>
      <w:r w:rsidR="00136017" w:rsidRPr="00CA45C6">
        <w:rPr>
          <w:szCs w:val="22"/>
        </w:rPr>
        <w:t>otice</w:t>
      </w:r>
      <w:proofErr w:type="gramEnd"/>
      <w:r w:rsidR="00136017" w:rsidRPr="00CA45C6">
        <w:rPr>
          <w:szCs w:val="22"/>
        </w:rPr>
        <w:t xml:space="preserv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w:t>
      </w:r>
      <w:proofErr w:type="gramStart"/>
      <w:r w:rsidRPr="00297F86">
        <w:t>enter into</w:t>
      </w:r>
      <w:proofErr w:type="gramEnd"/>
      <w:r w:rsidRPr="00297F86">
        <w:t xml:space="preserve">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0"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1"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2">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 xml:space="preserve">205. Summaries of Florida Statutes providing for confidentiality of </w:t>
      </w:r>
      <w:proofErr w:type="gramStart"/>
      <w:r w:rsidR="008A11BE" w:rsidRPr="00530785">
        <w:rPr>
          <w:bCs/>
        </w:rPr>
        <w:t>this</w:t>
      </w:r>
      <w:proofErr w:type="gramEnd"/>
      <w:r w:rsidR="008A11BE" w:rsidRPr="00530785">
        <w:rPr>
          <w:bCs/>
        </w:rPr>
        <w:t xml:space="preserve">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w:t>
      </w:r>
      <w:proofErr w:type="gramStart"/>
      <w:r w:rsidRPr="00CA45C6">
        <w:rPr>
          <w:b w:val="0"/>
          <w:bCs/>
          <w:szCs w:val="22"/>
        </w:rPr>
        <w:t>general public</w:t>
      </w:r>
      <w:proofErr w:type="gramEnd"/>
      <w:r w:rsidRPr="00CA45C6">
        <w:rPr>
          <w:b w:val="0"/>
          <w:bCs/>
          <w:szCs w:val="22"/>
        </w:rPr>
        <w:t>,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4B38" w14:textId="77777777" w:rsidR="007E1B76" w:rsidRDefault="007E1B76" w:rsidP="009E5FA9">
      <w:r>
        <w:separator/>
      </w:r>
    </w:p>
  </w:endnote>
  <w:endnote w:type="continuationSeparator" w:id="0">
    <w:p w14:paraId="76F9D6B3" w14:textId="77777777" w:rsidR="007E1B76" w:rsidRDefault="007E1B76" w:rsidP="009E5FA9">
      <w:r>
        <w:continuationSeparator/>
      </w:r>
    </w:p>
  </w:endnote>
  <w:endnote w:type="continuationNotice" w:id="1">
    <w:p w14:paraId="6A5F46A9" w14:textId="77777777" w:rsidR="007E1B76" w:rsidRDefault="007E1B76"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DA7D" w14:textId="77777777" w:rsidR="007E1B76" w:rsidRDefault="007E1B76" w:rsidP="00D45F3A">
      <w:r>
        <w:separator/>
      </w:r>
    </w:p>
  </w:footnote>
  <w:footnote w:type="continuationSeparator" w:id="0">
    <w:p w14:paraId="34A90F06" w14:textId="77777777" w:rsidR="007E1B76" w:rsidRDefault="007E1B76" w:rsidP="009E5FA9">
      <w:r>
        <w:continuationSeparator/>
      </w:r>
    </w:p>
  </w:footnote>
  <w:footnote w:type="continuationNotice" w:id="1">
    <w:p w14:paraId="53D4D30E" w14:textId="77777777" w:rsidR="007E1B76" w:rsidRDefault="007E1B76"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8C"/>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92"/>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28F"/>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B76"/>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G.Complaints@myflfamilie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yflfamilies.com/general-information/contracted-client-services/librar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yflfamilies.com/about/additional-services-offices/office-inspector-general/investigations/inspector-gener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yflfamilies.com/resources/policies-procedures/cfop-060-human-resources" TargetMode="External"/><Relationship Id="rId20" Type="http://schemas.openxmlformats.org/officeDocument/2006/relationships/hyperlink" Target="http://www.leg.state.fl.us/Statutes/index.cfm?App_mode=Display_Statute&amp;Search_String=&amp;URL=0900-0999/0946/Sections/0946.51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ms.myflorida.com/business_operations/state_purchasing/state_agency_resources/state_purchasing_pur_for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DCFCustodian@MYFLFAMILIE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yflfamilies.com/general-information/contracted-client-services/library" TargetMode="External"/><Relationship Id="rId22" Type="http://schemas.openxmlformats.org/officeDocument/2006/relationships/hyperlink" Target="https://www.whistleblowers.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metadata/properties"/>
    <ds:schemaRef ds:uri="http://schemas.microsoft.com/office/infopath/2007/PartnerControls"/>
    <ds:schemaRef ds:uri="e0de08a6-c75e-4a16-842b-81039f671c51"/>
  </ds:schemaRefs>
</ds:datastoreItem>
</file>

<file path=customXml/itemProps3.xml><?xml version="1.0" encoding="utf-8"?>
<ds:datastoreItem xmlns:ds="http://schemas.openxmlformats.org/officeDocument/2006/customXml" ds:itemID="{546645B8-4369-4E69-9B12-32CB75D44BE6}"/>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7.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12474</Words>
  <Characters>71102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PCMT-02</dc:title>
  <dc:subject/>
  <dc:creator>michael.greif@myflfamilies.com</dc:creator>
  <cp:keywords/>
  <dc:description/>
  <cp:lastModifiedBy>VanDyke, Misty N</cp:lastModifiedBy>
  <cp:revision>4</cp:revision>
  <cp:lastPrinted>2022-04-26T18:22:00Z</cp:lastPrinted>
  <dcterms:created xsi:type="dcterms:W3CDTF">2024-07-03T16:49:00Z</dcterms:created>
  <dcterms:modified xsi:type="dcterms:W3CDTF">2025-03-06T16:24:00Z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0x0101008512C928237B9549B728BCB0A33FC1F6</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